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0840" w14:textId="087006AA" w:rsidR="003E3738" w:rsidRPr="00A97A27" w:rsidRDefault="004E39AC" w:rsidP="004E39AC">
      <w:pPr>
        <w:jc w:val="center"/>
        <w:rPr>
          <w:b/>
          <w:bCs/>
          <w:color w:val="262626" w:themeColor="text1" w:themeTint="D9"/>
          <w:sz w:val="90"/>
          <w:szCs w:val="90"/>
        </w:rPr>
      </w:pPr>
      <w:r w:rsidRPr="00A97A27">
        <w:rPr>
          <w:b/>
          <w:bCs/>
          <w:color w:val="262626" w:themeColor="text1" w:themeTint="D9"/>
          <w:sz w:val="90"/>
          <w:szCs w:val="90"/>
        </w:rPr>
        <w:t>202</w:t>
      </w:r>
      <w:r w:rsidR="001A7E3C" w:rsidRPr="00A97A27">
        <w:rPr>
          <w:b/>
          <w:bCs/>
          <w:color w:val="262626" w:themeColor="text1" w:themeTint="D9"/>
          <w:sz w:val="90"/>
          <w:szCs w:val="90"/>
        </w:rPr>
        <w:t>6</w:t>
      </w:r>
      <w:r w:rsidRPr="00A97A27">
        <w:rPr>
          <w:b/>
          <w:bCs/>
          <w:color w:val="262626" w:themeColor="text1" w:themeTint="D9"/>
          <w:sz w:val="90"/>
          <w:szCs w:val="90"/>
        </w:rPr>
        <w:t xml:space="preserve"> FGR Offering</w:t>
      </w:r>
      <w:r w:rsidR="00037CC8">
        <w:rPr>
          <w:b/>
          <w:bCs/>
          <w:color w:val="262626" w:themeColor="text1" w:themeTint="D9"/>
          <w:sz w:val="90"/>
          <w:szCs w:val="90"/>
        </w:rPr>
        <w:t xml:space="preserve"> Calendar</w:t>
      </w:r>
    </w:p>
    <w:tbl>
      <w:tblPr>
        <w:tblW w:w="1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3"/>
        <w:gridCol w:w="1276"/>
        <w:gridCol w:w="7346"/>
        <w:gridCol w:w="1726"/>
        <w:gridCol w:w="2194"/>
      </w:tblGrid>
      <w:tr w:rsidR="008F4351" w:rsidRPr="003137C0" w14:paraId="57B1E62E" w14:textId="77777777" w:rsidTr="00BB5F31">
        <w:trPr>
          <w:tblHeader/>
          <w:jc w:val="center"/>
        </w:trPr>
        <w:tc>
          <w:tcPr>
            <w:tcW w:w="1413" w:type="dxa"/>
            <w:shd w:val="clear" w:color="auto" w:fill="A8D08D" w:themeFill="accent6" w:themeFillTint="99"/>
            <w:vAlign w:val="center"/>
            <w:hideMark/>
          </w:tcPr>
          <w:p w14:paraId="5180C39B" w14:textId="77777777" w:rsidR="008F4351" w:rsidRPr="003137C0" w:rsidRDefault="008F4351" w:rsidP="009C44E7">
            <w:pPr>
              <w:spacing w:after="0" w:line="240" w:lineRule="auto"/>
              <w:jc w:val="center"/>
              <w:rPr>
                <w:rFonts w:eastAsia="Times New Roman" w:cstheme="minorHAnsi"/>
                <w:b/>
                <w:bCs/>
                <w:color w:val="262626" w:themeColor="text1" w:themeTint="D9"/>
                <w:kern w:val="0"/>
                <w:sz w:val="28"/>
                <w:szCs w:val="28"/>
                <w:lang w:eastAsia="en-NZ"/>
                <w14:ligatures w14:val="none"/>
              </w:rPr>
            </w:pPr>
            <w:r w:rsidRPr="003137C0">
              <w:rPr>
                <w:rFonts w:eastAsia="Times New Roman" w:cstheme="minorHAnsi"/>
                <w:b/>
                <w:bCs/>
                <w:color w:val="262626" w:themeColor="text1" w:themeTint="D9"/>
                <w:kern w:val="0"/>
                <w:sz w:val="28"/>
                <w:szCs w:val="28"/>
                <w:lang w:eastAsia="en-NZ"/>
                <w14:ligatures w14:val="none"/>
              </w:rPr>
              <w:t>When</w:t>
            </w:r>
          </w:p>
        </w:tc>
        <w:tc>
          <w:tcPr>
            <w:tcW w:w="1276" w:type="dxa"/>
            <w:shd w:val="clear" w:color="auto" w:fill="A8D08D" w:themeFill="accent6" w:themeFillTint="99"/>
            <w:vAlign w:val="center"/>
            <w:hideMark/>
          </w:tcPr>
          <w:p w14:paraId="53DCEC32" w14:textId="77777777" w:rsidR="008F4351" w:rsidRPr="003137C0" w:rsidRDefault="008F4351" w:rsidP="009C44E7">
            <w:pPr>
              <w:spacing w:after="0" w:line="240" w:lineRule="auto"/>
              <w:jc w:val="center"/>
              <w:rPr>
                <w:rFonts w:eastAsia="Times New Roman" w:cstheme="minorHAnsi"/>
                <w:b/>
                <w:bCs/>
                <w:color w:val="262626" w:themeColor="text1" w:themeTint="D9"/>
                <w:kern w:val="0"/>
                <w:sz w:val="28"/>
                <w:szCs w:val="28"/>
                <w:lang w:eastAsia="en-NZ"/>
                <w14:ligatures w14:val="none"/>
              </w:rPr>
            </w:pPr>
            <w:r w:rsidRPr="003137C0">
              <w:rPr>
                <w:rFonts w:eastAsia="Times New Roman" w:cstheme="minorHAnsi"/>
                <w:b/>
                <w:bCs/>
                <w:color w:val="262626" w:themeColor="text1" w:themeTint="D9"/>
                <w:kern w:val="0"/>
                <w:sz w:val="28"/>
                <w:szCs w:val="28"/>
                <w:lang w:eastAsia="en-NZ"/>
                <w14:ligatures w14:val="none"/>
              </w:rPr>
              <w:t>Date</w:t>
            </w:r>
          </w:p>
        </w:tc>
        <w:tc>
          <w:tcPr>
            <w:tcW w:w="7346" w:type="dxa"/>
            <w:shd w:val="clear" w:color="auto" w:fill="A8D08D" w:themeFill="accent6" w:themeFillTint="99"/>
            <w:vAlign w:val="center"/>
            <w:hideMark/>
          </w:tcPr>
          <w:p w14:paraId="5D5E20AA" w14:textId="77777777" w:rsidR="008F4351" w:rsidRPr="003137C0" w:rsidRDefault="008F4351" w:rsidP="009C44E7">
            <w:pPr>
              <w:spacing w:after="0" w:line="240" w:lineRule="auto"/>
              <w:jc w:val="center"/>
              <w:rPr>
                <w:rFonts w:eastAsia="Times New Roman" w:cstheme="minorHAnsi"/>
                <w:b/>
                <w:bCs/>
                <w:color w:val="262626" w:themeColor="text1" w:themeTint="D9"/>
                <w:kern w:val="0"/>
                <w:sz w:val="28"/>
                <w:szCs w:val="28"/>
                <w:lang w:eastAsia="en-NZ"/>
                <w14:ligatures w14:val="none"/>
              </w:rPr>
            </w:pPr>
            <w:r w:rsidRPr="003137C0">
              <w:rPr>
                <w:rFonts w:eastAsia="Times New Roman" w:cstheme="minorHAnsi"/>
                <w:b/>
                <w:bCs/>
                <w:color w:val="262626" w:themeColor="text1" w:themeTint="D9"/>
                <w:kern w:val="0"/>
                <w:sz w:val="28"/>
                <w:szCs w:val="28"/>
                <w:lang w:eastAsia="en-NZ"/>
                <w14:ligatures w14:val="none"/>
              </w:rPr>
              <w:t>Topic</w:t>
            </w:r>
          </w:p>
        </w:tc>
        <w:tc>
          <w:tcPr>
            <w:tcW w:w="1726" w:type="dxa"/>
            <w:shd w:val="clear" w:color="auto" w:fill="A8D08D" w:themeFill="accent6" w:themeFillTint="99"/>
            <w:vAlign w:val="center"/>
          </w:tcPr>
          <w:p w14:paraId="28E28C55" w14:textId="2E68A6B9" w:rsidR="008F4351" w:rsidRPr="003137C0" w:rsidRDefault="008F4351" w:rsidP="00070216">
            <w:pPr>
              <w:spacing w:after="0" w:line="240" w:lineRule="auto"/>
              <w:jc w:val="center"/>
              <w:rPr>
                <w:rFonts w:eastAsia="Times New Roman" w:cstheme="minorHAnsi"/>
                <w:b/>
                <w:bCs/>
                <w:color w:val="262626" w:themeColor="text1" w:themeTint="D9"/>
                <w:kern w:val="0"/>
                <w:sz w:val="28"/>
                <w:szCs w:val="28"/>
                <w:lang w:eastAsia="en-NZ"/>
                <w14:ligatures w14:val="none"/>
              </w:rPr>
            </w:pPr>
            <w:r>
              <w:rPr>
                <w:rFonts w:eastAsia="Times New Roman" w:cstheme="minorHAnsi"/>
                <w:b/>
                <w:bCs/>
                <w:color w:val="262626" w:themeColor="text1" w:themeTint="D9"/>
                <w:kern w:val="0"/>
                <w:sz w:val="28"/>
                <w:szCs w:val="28"/>
                <w:lang w:eastAsia="en-NZ"/>
                <w14:ligatures w14:val="none"/>
              </w:rPr>
              <w:t xml:space="preserve">Skill </w:t>
            </w:r>
            <w:r w:rsidR="007F789C">
              <w:rPr>
                <w:rFonts w:eastAsia="Times New Roman" w:cstheme="minorHAnsi"/>
                <w:b/>
                <w:bCs/>
                <w:color w:val="262626" w:themeColor="text1" w:themeTint="D9"/>
                <w:kern w:val="0"/>
                <w:sz w:val="28"/>
                <w:szCs w:val="28"/>
                <w:lang w:eastAsia="en-NZ"/>
                <w14:ligatures w14:val="none"/>
              </w:rPr>
              <w:t>Category</w:t>
            </w:r>
          </w:p>
        </w:tc>
        <w:tc>
          <w:tcPr>
            <w:tcW w:w="2194" w:type="dxa"/>
            <w:shd w:val="clear" w:color="auto" w:fill="A8D08D" w:themeFill="accent6" w:themeFillTint="99"/>
            <w:vAlign w:val="center"/>
            <w:hideMark/>
          </w:tcPr>
          <w:p w14:paraId="7F18062D" w14:textId="302A9C79" w:rsidR="008F4351" w:rsidRPr="003137C0" w:rsidRDefault="00412F40" w:rsidP="00070216">
            <w:pPr>
              <w:spacing w:after="0" w:line="240" w:lineRule="auto"/>
              <w:jc w:val="center"/>
              <w:rPr>
                <w:rFonts w:eastAsia="Times New Roman" w:cstheme="minorHAnsi"/>
                <w:b/>
                <w:bCs/>
                <w:color w:val="262626" w:themeColor="text1" w:themeTint="D9"/>
                <w:kern w:val="0"/>
                <w:sz w:val="28"/>
                <w:szCs w:val="28"/>
                <w:lang w:eastAsia="en-NZ"/>
                <w14:ligatures w14:val="none"/>
              </w:rPr>
            </w:pPr>
            <w:r>
              <w:rPr>
                <w:rFonts w:eastAsia="Times New Roman" w:cstheme="minorHAnsi"/>
                <w:b/>
                <w:bCs/>
                <w:color w:val="262626" w:themeColor="text1" w:themeTint="D9"/>
                <w:kern w:val="0"/>
                <w:sz w:val="28"/>
                <w:szCs w:val="28"/>
                <w:lang w:eastAsia="en-NZ"/>
                <w14:ligatures w14:val="none"/>
              </w:rPr>
              <w:t>E</w:t>
            </w:r>
            <w:r w:rsidR="00170DBE">
              <w:rPr>
                <w:rFonts w:eastAsia="Times New Roman" w:cstheme="minorHAnsi"/>
                <w:b/>
                <w:bCs/>
                <w:color w:val="262626" w:themeColor="text1" w:themeTint="D9"/>
                <w:kern w:val="0"/>
                <w:sz w:val="28"/>
                <w:szCs w:val="28"/>
                <w:lang w:eastAsia="en-NZ"/>
                <w14:ligatures w14:val="none"/>
              </w:rPr>
              <w:t>vent</w:t>
            </w:r>
            <w:r>
              <w:rPr>
                <w:rFonts w:eastAsia="Times New Roman" w:cstheme="minorHAnsi"/>
                <w:b/>
                <w:bCs/>
                <w:color w:val="262626" w:themeColor="text1" w:themeTint="D9"/>
                <w:kern w:val="0"/>
                <w:sz w:val="28"/>
                <w:szCs w:val="28"/>
                <w:lang w:eastAsia="en-NZ"/>
                <w14:ligatures w14:val="none"/>
              </w:rPr>
              <w:t xml:space="preserve"> </w:t>
            </w:r>
            <w:r w:rsidR="00F82665">
              <w:rPr>
                <w:rFonts w:eastAsia="Times New Roman" w:cstheme="minorHAnsi"/>
                <w:b/>
                <w:bCs/>
                <w:color w:val="262626" w:themeColor="text1" w:themeTint="D9"/>
                <w:kern w:val="0"/>
                <w:sz w:val="28"/>
                <w:szCs w:val="28"/>
                <w:lang w:eastAsia="en-NZ"/>
                <w14:ligatures w14:val="none"/>
              </w:rPr>
              <w:t>T</w:t>
            </w:r>
            <w:r>
              <w:rPr>
                <w:rFonts w:eastAsia="Times New Roman" w:cstheme="minorHAnsi"/>
                <w:b/>
                <w:bCs/>
                <w:color w:val="262626" w:themeColor="text1" w:themeTint="D9"/>
                <w:kern w:val="0"/>
                <w:sz w:val="28"/>
                <w:szCs w:val="28"/>
                <w:lang w:eastAsia="en-NZ"/>
                <w14:ligatures w14:val="none"/>
              </w:rPr>
              <w:t>ype</w:t>
            </w:r>
          </w:p>
        </w:tc>
      </w:tr>
      <w:tr w:rsidR="00F073AF" w:rsidRPr="003137C0" w14:paraId="66012BBC" w14:textId="77777777" w:rsidTr="00A40179">
        <w:trPr>
          <w:trHeight w:val="141"/>
          <w:jc w:val="center"/>
        </w:trPr>
        <w:tc>
          <w:tcPr>
            <w:tcW w:w="1413" w:type="dxa"/>
            <w:vMerge w:val="restart"/>
            <w:shd w:val="clear" w:color="auto" w:fill="auto"/>
            <w:vAlign w:val="center"/>
          </w:tcPr>
          <w:p w14:paraId="7A6C35C5" w14:textId="0A1EC8CE" w:rsidR="00F073AF" w:rsidRPr="00130E27" w:rsidRDefault="00F073AF" w:rsidP="00C222EF">
            <w:pPr>
              <w:spacing w:after="0" w:line="240" w:lineRule="auto"/>
              <w:jc w:val="center"/>
              <w:rPr>
                <w:rFonts w:eastAsia="Times New Roman" w:cstheme="minorHAnsi"/>
                <w:b/>
                <w:bCs/>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February</w:t>
            </w:r>
          </w:p>
        </w:tc>
        <w:tc>
          <w:tcPr>
            <w:tcW w:w="1276" w:type="dxa"/>
            <w:shd w:val="clear" w:color="auto" w:fill="auto"/>
            <w:vAlign w:val="center"/>
          </w:tcPr>
          <w:p w14:paraId="2457C57F" w14:textId="04B7EAD0" w:rsidR="00F073AF" w:rsidRPr="00130E27" w:rsidRDefault="00F073AF" w:rsidP="00A42D76">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17</w:t>
            </w:r>
            <w:r w:rsidR="00837457">
              <w:rPr>
                <w:rFonts w:eastAsia="Times New Roman" w:cstheme="minorHAnsi"/>
                <w:color w:val="262626" w:themeColor="text1" w:themeTint="D9"/>
                <w:kern w:val="0"/>
                <w:sz w:val="28"/>
                <w:szCs w:val="28"/>
                <w:lang w:eastAsia="en-NZ"/>
                <w14:ligatures w14:val="none"/>
              </w:rPr>
              <w:t xml:space="preserve"> Feb</w:t>
            </w:r>
          </w:p>
        </w:tc>
        <w:tc>
          <w:tcPr>
            <w:tcW w:w="7346" w:type="dxa"/>
            <w:shd w:val="clear" w:color="auto" w:fill="auto"/>
            <w:vAlign w:val="center"/>
          </w:tcPr>
          <w:p w14:paraId="56406796" w14:textId="757F2D54" w:rsidR="00F073AF" w:rsidRPr="00130E27" w:rsidRDefault="00F073AF" w:rsidP="00A42D76">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Effective reading and note taking</w:t>
            </w:r>
          </w:p>
        </w:tc>
        <w:tc>
          <w:tcPr>
            <w:tcW w:w="1726" w:type="dxa"/>
            <w:vAlign w:val="center"/>
          </w:tcPr>
          <w:p w14:paraId="7FD2C625" w14:textId="2AFAE9A6" w:rsidR="00F073AF" w:rsidRPr="00130E27" w:rsidRDefault="00F073AF" w:rsidP="00A42D76">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SC6</w:t>
            </w:r>
          </w:p>
        </w:tc>
        <w:tc>
          <w:tcPr>
            <w:tcW w:w="2194" w:type="dxa"/>
            <w:shd w:val="clear" w:color="auto" w:fill="auto"/>
            <w:vAlign w:val="center"/>
          </w:tcPr>
          <w:p w14:paraId="540885C8" w14:textId="76E26223" w:rsidR="00F073AF" w:rsidRPr="00130E27" w:rsidRDefault="00F073AF" w:rsidP="00A42D76">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073AF" w:rsidRPr="003137C0" w14:paraId="1698FA74" w14:textId="77777777" w:rsidTr="00A40179">
        <w:trPr>
          <w:trHeight w:val="60"/>
          <w:jc w:val="center"/>
        </w:trPr>
        <w:tc>
          <w:tcPr>
            <w:tcW w:w="1413" w:type="dxa"/>
            <w:vMerge/>
            <w:shd w:val="clear" w:color="auto" w:fill="auto"/>
            <w:vAlign w:val="center"/>
          </w:tcPr>
          <w:p w14:paraId="2F6960E5" w14:textId="3B0D8D58" w:rsidR="00F073AF" w:rsidRPr="00130E27" w:rsidRDefault="00F073AF" w:rsidP="00C222EF">
            <w:pPr>
              <w:spacing w:after="0" w:line="240" w:lineRule="auto"/>
              <w:jc w:val="center"/>
              <w:rPr>
                <w:rFonts w:eastAsia="Times New Roman" w:cstheme="minorHAnsi"/>
                <w:b/>
                <w:bCs/>
                <w:color w:val="262626" w:themeColor="text1" w:themeTint="D9"/>
                <w:kern w:val="0"/>
                <w:sz w:val="28"/>
                <w:szCs w:val="28"/>
                <w:lang w:eastAsia="en-NZ"/>
                <w14:ligatures w14:val="none"/>
              </w:rPr>
            </w:pPr>
          </w:p>
        </w:tc>
        <w:tc>
          <w:tcPr>
            <w:tcW w:w="1276" w:type="dxa"/>
            <w:shd w:val="clear" w:color="auto" w:fill="auto"/>
            <w:vAlign w:val="center"/>
          </w:tcPr>
          <w:p w14:paraId="78B7076E" w14:textId="38D37FEF" w:rsidR="00F073AF" w:rsidRPr="00130E27" w:rsidRDefault="00F073AF" w:rsidP="00101873">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24</w:t>
            </w:r>
            <w:r w:rsidR="00837457">
              <w:rPr>
                <w:rFonts w:eastAsia="Times New Roman" w:cstheme="minorHAnsi"/>
                <w:color w:val="262626" w:themeColor="text1" w:themeTint="D9"/>
                <w:kern w:val="0"/>
                <w:sz w:val="28"/>
                <w:szCs w:val="28"/>
                <w:lang w:eastAsia="en-NZ"/>
                <w14:ligatures w14:val="none"/>
              </w:rPr>
              <w:t xml:space="preserve"> Feb</w:t>
            </w:r>
          </w:p>
        </w:tc>
        <w:tc>
          <w:tcPr>
            <w:tcW w:w="7346" w:type="dxa"/>
            <w:shd w:val="clear" w:color="auto" w:fill="auto"/>
            <w:vAlign w:val="center"/>
          </w:tcPr>
          <w:p w14:paraId="20A509CA" w14:textId="63684B66" w:rsidR="00F073AF" w:rsidRPr="00130E27" w:rsidRDefault="00F073AF" w:rsidP="00101873">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What examiners expect of a quality thesis</w:t>
            </w:r>
          </w:p>
        </w:tc>
        <w:tc>
          <w:tcPr>
            <w:tcW w:w="1726" w:type="dxa"/>
            <w:vAlign w:val="center"/>
          </w:tcPr>
          <w:p w14:paraId="7675438D" w14:textId="255739C9" w:rsidR="00F073AF" w:rsidRPr="00130E27" w:rsidRDefault="00F073AF" w:rsidP="00101873">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 SC8</w:t>
            </w:r>
          </w:p>
        </w:tc>
        <w:tc>
          <w:tcPr>
            <w:tcW w:w="2194" w:type="dxa"/>
            <w:shd w:val="clear" w:color="auto" w:fill="auto"/>
            <w:vAlign w:val="center"/>
          </w:tcPr>
          <w:p w14:paraId="0BAD68C5" w14:textId="627114D1" w:rsidR="00F073AF" w:rsidRPr="00130E27" w:rsidRDefault="00F073AF" w:rsidP="00101873">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073AF" w:rsidRPr="003137C0" w14:paraId="35D2EE8D" w14:textId="77777777" w:rsidTr="00A40179">
        <w:trPr>
          <w:trHeight w:val="60"/>
          <w:jc w:val="center"/>
        </w:trPr>
        <w:tc>
          <w:tcPr>
            <w:tcW w:w="1413" w:type="dxa"/>
            <w:vMerge/>
            <w:shd w:val="clear" w:color="auto" w:fill="auto"/>
            <w:vAlign w:val="center"/>
          </w:tcPr>
          <w:p w14:paraId="6F141FBB" w14:textId="77777777" w:rsidR="00F073AF" w:rsidRPr="00130E27" w:rsidRDefault="00F073AF" w:rsidP="00F35814">
            <w:pPr>
              <w:spacing w:after="0" w:line="240" w:lineRule="auto"/>
              <w:jc w:val="center"/>
              <w:rPr>
                <w:rFonts w:eastAsia="Times New Roman" w:cstheme="minorHAnsi"/>
                <w:b/>
                <w:bCs/>
                <w:color w:val="262626" w:themeColor="text1" w:themeTint="D9"/>
                <w:kern w:val="0"/>
                <w:sz w:val="28"/>
                <w:szCs w:val="28"/>
                <w:lang w:eastAsia="en-NZ"/>
                <w14:ligatures w14:val="none"/>
              </w:rPr>
            </w:pPr>
          </w:p>
        </w:tc>
        <w:tc>
          <w:tcPr>
            <w:tcW w:w="1276" w:type="dxa"/>
            <w:shd w:val="clear" w:color="auto" w:fill="auto"/>
            <w:vAlign w:val="center"/>
          </w:tcPr>
          <w:p w14:paraId="72123102" w14:textId="433ED46E" w:rsidR="00F073AF" w:rsidRPr="00130E27" w:rsidRDefault="00F073AF" w:rsidP="00F35814">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27</w:t>
            </w:r>
            <w:r w:rsidR="00837457">
              <w:rPr>
                <w:rFonts w:eastAsia="Times New Roman" w:cstheme="minorHAnsi"/>
                <w:color w:val="262626" w:themeColor="text1" w:themeTint="D9"/>
                <w:kern w:val="0"/>
                <w:sz w:val="28"/>
                <w:szCs w:val="28"/>
                <w:lang w:eastAsia="en-NZ"/>
                <w14:ligatures w14:val="none"/>
              </w:rPr>
              <w:t xml:space="preserve"> Feb</w:t>
            </w:r>
          </w:p>
        </w:tc>
        <w:tc>
          <w:tcPr>
            <w:tcW w:w="7346" w:type="dxa"/>
            <w:shd w:val="clear" w:color="auto" w:fill="auto"/>
            <w:vAlign w:val="center"/>
          </w:tcPr>
          <w:p w14:paraId="3EEEFF1B" w14:textId="3680864E" w:rsidR="00F073AF" w:rsidRPr="00130E27" w:rsidRDefault="00F073AF" w:rsidP="00F35814">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C00000"/>
                <w:kern w:val="0"/>
                <w:sz w:val="28"/>
                <w:szCs w:val="28"/>
                <w:lang w:eastAsia="en-NZ"/>
                <w14:ligatures w14:val="none"/>
              </w:rPr>
              <w:t>Write, munch, and connect: One-day mini writing bootcamp</w:t>
            </w:r>
          </w:p>
        </w:tc>
        <w:tc>
          <w:tcPr>
            <w:tcW w:w="1726" w:type="dxa"/>
            <w:vAlign w:val="center"/>
          </w:tcPr>
          <w:p w14:paraId="71BD7F81" w14:textId="7BAD2A4F" w:rsidR="00F073AF" w:rsidRPr="00130E27" w:rsidRDefault="00F073AF" w:rsidP="00F35814">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C00000"/>
                <w:kern w:val="0"/>
                <w:sz w:val="28"/>
                <w:szCs w:val="28"/>
                <w:lang w:eastAsia="en-NZ"/>
                <w14:ligatures w14:val="none"/>
              </w:rPr>
              <w:t>SC5</w:t>
            </w:r>
          </w:p>
        </w:tc>
        <w:tc>
          <w:tcPr>
            <w:tcW w:w="2194" w:type="dxa"/>
            <w:shd w:val="clear" w:color="auto" w:fill="auto"/>
            <w:vAlign w:val="center"/>
          </w:tcPr>
          <w:p w14:paraId="0DD169C2" w14:textId="3D3D1FF2" w:rsidR="00F073AF" w:rsidRPr="00130E27" w:rsidRDefault="00F073AF" w:rsidP="00F35814">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C00000"/>
                <w:kern w:val="0"/>
                <w:sz w:val="28"/>
                <w:szCs w:val="28"/>
                <w:lang w:eastAsia="en-NZ"/>
                <w14:ligatures w14:val="none"/>
              </w:rPr>
              <w:t>Bootcamp</w:t>
            </w:r>
          </w:p>
        </w:tc>
      </w:tr>
      <w:tr w:rsidR="00C222EF" w:rsidRPr="003137C0" w14:paraId="59590FED" w14:textId="77777777" w:rsidTr="00BB5F31">
        <w:trPr>
          <w:trHeight w:val="64"/>
          <w:jc w:val="center"/>
        </w:trPr>
        <w:tc>
          <w:tcPr>
            <w:tcW w:w="1413" w:type="dxa"/>
            <w:vMerge w:val="restart"/>
            <w:shd w:val="clear" w:color="auto" w:fill="E2EFD9" w:themeFill="accent6" w:themeFillTint="33"/>
            <w:vAlign w:val="center"/>
          </w:tcPr>
          <w:p w14:paraId="0A78A21C" w14:textId="6DF82A71" w:rsidR="00C222EF" w:rsidRPr="00130E27" w:rsidRDefault="00C222EF" w:rsidP="00C222EF">
            <w:pPr>
              <w:spacing w:after="0" w:line="240" w:lineRule="auto"/>
              <w:jc w:val="center"/>
              <w:rPr>
                <w:rFonts w:eastAsia="Times New Roman" w:cstheme="minorHAnsi"/>
                <w:b/>
                <w:bCs/>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March</w:t>
            </w:r>
          </w:p>
        </w:tc>
        <w:tc>
          <w:tcPr>
            <w:tcW w:w="1276" w:type="dxa"/>
            <w:shd w:val="clear" w:color="auto" w:fill="E2EFD9" w:themeFill="accent6" w:themeFillTint="33"/>
            <w:vAlign w:val="center"/>
          </w:tcPr>
          <w:p w14:paraId="50EFC1E5" w14:textId="0AC6D554" w:rsidR="00C222EF" w:rsidRPr="00130E27" w:rsidRDefault="00C222EF" w:rsidP="00C222EF">
            <w:pPr>
              <w:spacing w:after="0" w:line="240" w:lineRule="auto"/>
              <w:rPr>
                <w:rFonts w:eastAsia="Times New Roman" w:cstheme="minorHAnsi"/>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10</w:t>
            </w:r>
            <w:r w:rsidR="005B79D9">
              <w:rPr>
                <w:rFonts w:eastAsia="Times New Roman" w:cstheme="minorHAnsi"/>
                <w:color w:val="262626" w:themeColor="text1" w:themeTint="D9"/>
                <w:kern w:val="0"/>
                <w:sz w:val="28"/>
                <w:szCs w:val="28"/>
                <w:lang w:eastAsia="en-NZ"/>
                <w14:ligatures w14:val="none"/>
              </w:rPr>
              <w:t xml:space="preserve"> Mar</w:t>
            </w:r>
          </w:p>
        </w:tc>
        <w:tc>
          <w:tcPr>
            <w:tcW w:w="7346" w:type="dxa"/>
            <w:shd w:val="clear" w:color="auto" w:fill="E2EFD9" w:themeFill="accent6" w:themeFillTint="33"/>
            <w:vAlign w:val="center"/>
          </w:tcPr>
          <w:p w14:paraId="18EE5119" w14:textId="249265F4" w:rsidR="00C222EF" w:rsidRPr="00837457" w:rsidRDefault="00837457" w:rsidP="00C222EF">
            <w:pPr>
              <w:spacing w:after="0" w:line="240" w:lineRule="auto"/>
              <w:rPr>
                <w:rFonts w:eastAsia="Times New Roman" w:cstheme="minorHAnsi"/>
                <w:color w:val="00B050"/>
                <w:kern w:val="0"/>
                <w:sz w:val="28"/>
                <w:szCs w:val="28"/>
                <w:lang w:eastAsia="en-NZ"/>
                <w14:ligatures w14:val="none"/>
              </w:rPr>
            </w:pPr>
            <w:r w:rsidRPr="00837457">
              <w:rPr>
                <w:rFonts w:eastAsia="Times New Roman" w:cstheme="minorHAnsi"/>
                <w:color w:val="7030A0"/>
                <w:kern w:val="0"/>
                <w:sz w:val="28"/>
                <w:szCs w:val="28"/>
                <w:lang w:eastAsia="en-NZ"/>
                <w14:ligatures w14:val="none"/>
              </w:rPr>
              <w:t xml:space="preserve">Doctoral Induction: </w:t>
            </w:r>
            <w:r w:rsidR="00C222EF" w:rsidRPr="00837457">
              <w:rPr>
                <w:rFonts w:eastAsia="Times New Roman" w:cstheme="minorHAnsi"/>
                <w:color w:val="7030A0"/>
                <w:kern w:val="0"/>
                <w:sz w:val="28"/>
                <w:szCs w:val="28"/>
                <w:lang w:eastAsia="en-NZ"/>
                <w14:ligatures w14:val="none"/>
              </w:rPr>
              <w:t>Getting off to the best start</w:t>
            </w:r>
          </w:p>
        </w:tc>
        <w:tc>
          <w:tcPr>
            <w:tcW w:w="1726" w:type="dxa"/>
            <w:shd w:val="clear" w:color="auto" w:fill="E2EFD9" w:themeFill="accent6" w:themeFillTint="33"/>
            <w:vAlign w:val="center"/>
          </w:tcPr>
          <w:p w14:paraId="38173535" w14:textId="10B8F8B4" w:rsidR="00C222EF" w:rsidRPr="006F6558" w:rsidRDefault="00C222EF" w:rsidP="00C222EF">
            <w:pPr>
              <w:spacing w:after="0" w:line="240" w:lineRule="auto"/>
              <w:jc w:val="center"/>
              <w:rPr>
                <w:rFonts w:eastAsia="Times New Roman" w:cstheme="minorHAnsi"/>
                <w:color w:val="7030A0"/>
                <w:kern w:val="0"/>
                <w:sz w:val="28"/>
                <w:szCs w:val="28"/>
                <w:lang w:eastAsia="en-NZ"/>
                <w14:ligatures w14:val="none"/>
              </w:rPr>
            </w:pPr>
            <w:r w:rsidRPr="006F6558">
              <w:rPr>
                <w:rFonts w:eastAsia="Times New Roman" w:cstheme="minorHAnsi"/>
                <w:color w:val="7030A0"/>
                <w:kern w:val="0"/>
                <w:sz w:val="28"/>
                <w:szCs w:val="28"/>
                <w:lang w:eastAsia="en-NZ"/>
                <w14:ligatures w14:val="none"/>
              </w:rPr>
              <w:t>SC8</w:t>
            </w:r>
          </w:p>
        </w:tc>
        <w:tc>
          <w:tcPr>
            <w:tcW w:w="2194" w:type="dxa"/>
            <w:shd w:val="clear" w:color="auto" w:fill="E2EFD9" w:themeFill="accent6" w:themeFillTint="33"/>
            <w:vAlign w:val="center"/>
          </w:tcPr>
          <w:p w14:paraId="09A9FCEF" w14:textId="659E5E05" w:rsidR="00C222EF" w:rsidRPr="006F6558" w:rsidRDefault="00C222EF" w:rsidP="00C222EF">
            <w:pPr>
              <w:spacing w:after="0" w:line="240" w:lineRule="auto"/>
              <w:jc w:val="center"/>
              <w:rPr>
                <w:rFonts w:eastAsia="Times New Roman" w:cstheme="minorHAnsi"/>
                <w:color w:val="7030A0"/>
                <w:kern w:val="0"/>
                <w:sz w:val="28"/>
                <w:szCs w:val="28"/>
                <w:lang w:eastAsia="en-NZ"/>
                <w14:ligatures w14:val="none"/>
              </w:rPr>
            </w:pPr>
            <w:r w:rsidRPr="006F6558">
              <w:rPr>
                <w:rFonts w:eastAsia="Times New Roman" w:cstheme="minorHAnsi"/>
                <w:color w:val="7030A0"/>
                <w:kern w:val="0"/>
                <w:sz w:val="28"/>
                <w:szCs w:val="28"/>
                <w:lang w:eastAsia="en-NZ"/>
                <w14:ligatures w14:val="none"/>
              </w:rPr>
              <w:t>Doctoral Induction</w:t>
            </w:r>
          </w:p>
        </w:tc>
      </w:tr>
      <w:tr w:rsidR="00C222EF" w:rsidRPr="003137C0" w14:paraId="6836FC87" w14:textId="77777777" w:rsidTr="00A40179">
        <w:trPr>
          <w:trHeight w:val="60"/>
          <w:jc w:val="center"/>
        </w:trPr>
        <w:tc>
          <w:tcPr>
            <w:tcW w:w="1413" w:type="dxa"/>
            <w:vMerge/>
            <w:shd w:val="clear" w:color="auto" w:fill="E2EFD9" w:themeFill="accent6" w:themeFillTint="33"/>
            <w:vAlign w:val="center"/>
            <w:hideMark/>
          </w:tcPr>
          <w:p w14:paraId="1EEF794D" w14:textId="77777777" w:rsidR="00C222EF" w:rsidRPr="00130E27" w:rsidRDefault="00C222EF" w:rsidP="00C222EF">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640D42EE" w14:textId="7E0992B5" w:rsidR="00C222EF" w:rsidRPr="00130E27" w:rsidRDefault="00C222EF" w:rsidP="00C222EF">
            <w:pPr>
              <w:spacing w:after="0" w:line="240" w:lineRule="auto"/>
              <w:rPr>
                <w:rFonts w:eastAsia="Times New Roman" w:cstheme="minorHAnsi"/>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12</w:t>
            </w:r>
            <w:r w:rsidR="005B79D9">
              <w:rPr>
                <w:rFonts w:eastAsia="Times New Roman" w:cstheme="minorHAnsi"/>
                <w:color w:val="262626" w:themeColor="text1" w:themeTint="D9"/>
                <w:kern w:val="0"/>
                <w:sz w:val="28"/>
                <w:szCs w:val="28"/>
                <w:lang w:eastAsia="en-NZ"/>
                <w14:ligatures w14:val="none"/>
              </w:rPr>
              <w:t xml:space="preserve"> Mar</w:t>
            </w:r>
          </w:p>
        </w:tc>
        <w:tc>
          <w:tcPr>
            <w:tcW w:w="7346" w:type="dxa"/>
            <w:shd w:val="clear" w:color="auto" w:fill="E2EFD9" w:themeFill="accent6" w:themeFillTint="33"/>
            <w:vAlign w:val="center"/>
            <w:hideMark/>
          </w:tcPr>
          <w:p w14:paraId="6BCD9AFF" w14:textId="611C1391" w:rsidR="00C222EF" w:rsidRPr="00837457" w:rsidRDefault="00C222EF" w:rsidP="00C222EF">
            <w:pPr>
              <w:spacing w:after="0" w:line="240" w:lineRule="auto"/>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The lifecycle of the PhD</w:t>
            </w:r>
          </w:p>
        </w:tc>
        <w:tc>
          <w:tcPr>
            <w:tcW w:w="1726" w:type="dxa"/>
            <w:shd w:val="clear" w:color="auto" w:fill="E2EFD9" w:themeFill="accent6" w:themeFillTint="33"/>
            <w:vAlign w:val="center"/>
          </w:tcPr>
          <w:p w14:paraId="184A64F7" w14:textId="3E9AAA0C" w:rsidR="00C222EF" w:rsidRPr="00837457" w:rsidRDefault="00C222EF" w:rsidP="00C222EF">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SC8</w:t>
            </w:r>
          </w:p>
        </w:tc>
        <w:tc>
          <w:tcPr>
            <w:tcW w:w="2194" w:type="dxa"/>
            <w:shd w:val="clear" w:color="auto" w:fill="E2EFD9" w:themeFill="accent6" w:themeFillTint="33"/>
            <w:vAlign w:val="center"/>
          </w:tcPr>
          <w:p w14:paraId="49C0101D" w14:textId="49F652F3" w:rsidR="00C222EF" w:rsidRPr="00837457" w:rsidRDefault="00C222EF" w:rsidP="00C222EF">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Student workshop</w:t>
            </w:r>
          </w:p>
        </w:tc>
      </w:tr>
      <w:tr w:rsidR="009173B6" w:rsidRPr="003137C0" w14:paraId="720C0C52" w14:textId="77777777" w:rsidTr="00BB5F31">
        <w:trPr>
          <w:trHeight w:val="64"/>
          <w:jc w:val="center"/>
        </w:trPr>
        <w:tc>
          <w:tcPr>
            <w:tcW w:w="1413" w:type="dxa"/>
            <w:vMerge/>
            <w:shd w:val="clear" w:color="auto" w:fill="E2EFD9" w:themeFill="accent6" w:themeFillTint="33"/>
            <w:vAlign w:val="center"/>
          </w:tcPr>
          <w:p w14:paraId="760D382D" w14:textId="77777777" w:rsidR="009173B6" w:rsidRPr="00130E27" w:rsidRDefault="009173B6" w:rsidP="009173B6">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743100BE" w14:textId="18F5DB08" w:rsidR="009173B6" w:rsidRPr="00130E27" w:rsidRDefault="009173B6" w:rsidP="009173B6">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17</w:t>
            </w:r>
            <w:r w:rsidR="005B79D9">
              <w:rPr>
                <w:rFonts w:eastAsia="Times New Roman" w:cstheme="minorHAnsi"/>
                <w:color w:val="262626" w:themeColor="text1" w:themeTint="D9"/>
                <w:kern w:val="0"/>
                <w:sz w:val="28"/>
                <w:szCs w:val="28"/>
                <w:lang w:eastAsia="en-NZ"/>
                <w14:ligatures w14:val="none"/>
              </w:rPr>
              <w:t xml:space="preserve"> Mar</w:t>
            </w:r>
          </w:p>
        </w:tc>
        <w:tc>
          <w:tcPr>
            <w:tcW w:w="7346" w:type="dxa"/>
            <w:shd w:val="clear" w:color="auto" w:fill="E2EFD9" w:themeFill="accent6" w:themeFillTint="33"/>
            <w:vAlign w:val="center"/>
          </w:tcPr>
          <w:p w14:paraId="16F67688" w14:textId="6BA8706F" w:rsidR="00D013BB" w:rsidRPr="00837457" w:rsidRDefault="006D77A4" w:rsidP="009173B6">
            <w:pPr>
              <w:spacing w:after="0" w:line="240" w:lineRule="auto"/>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Pitch perfect: Make every second count</w:t>
            </w:r>
          </w:p>
        </w:tc>
        <w:tc>
          <w:tcPr>
            <w:tcW w:w="1726" w:type="dxa"/>
            <w:shd w:val="clear" w:color="auto" w:fill="E2EFD9" w:themeFill="accent6" w:themeFillTint="33"/>
            <w:vAlign w:val="center"/>
          </w:tcPr>
          <w:p w14:paraId="082DFC7A" w14:textId="034644AA" w:rsidR="00D013BB" w:rsidRPr="00837457" w:rsidRDefault="00D013BB" w:rsidP="009173B6">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SC7</w:t>
            </w:r>
          </w:p>
        </w:tc>
        <w:tc>
          <w:tcPr>
            <w:tcW w:w="2194" w:type="dxa"/>
            <w:shd w:val="clear" w:color="auto" w:fill="E2EFD9" w:themeFill="accent6" w:themeFillTint="33"/>
            <w:vAlign w:val="center"/>
          </w:tcPr>
          <w:p w14:paraId="673B8938" w14:textId="211BBFD2" w:rsidR="00D013BB" w:rsidRPr="00837457" w:rsidRDefault="00D013BB" w:rsidP="009173B6">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Student workshop</w:t>
            </w:r>
          </w:p>
        </w:tc>
      </w:tr>
      <w:tr w:rsidR="009173B6" w:rsidRPr="003137C0" w14:paraId="007B6660" w14:textId="77777777" w:rsidTr="00A40179">
        <w:trPr>
          <w:trHeight w:val="60"/>
          <w:jc w:val="center"/>
        </w:trPr>
        <w:tc>
          <w:tcPr>
            <w:tcW w:w="1413" w:type="dxa"/>
            <w:vMerge/>
            <w:shd w:val="clear" w:color="auto" w:fill="E2EFD9" w:themeFill="accent6" w:themeFillTint="33"/>
            <w:vAlign w:val="center"/>
          </w:tcPr>
          <w:p w14:paraId="3D86EE87" w14:textId="77777777" w:rsidR="009173B6" w:rsidRPr="00130E27" w:rsidRDefault="009173B6" w:rsidP="009173B6">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7C798BED" w14:textId="2B4D0C9B" w:rsidR="009173B6" w:rsidRPr="00130E27" w:rsidRDefault="009173B6" w:rsidP="009173B6">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19</w:t>
            </w:r>
            <w:r w:rsidR="005B79D9">
              <w:rPr>
                <w:rFonts w:eastAsia="Times New Roman" w:cstheme="minorHAnsi"/>
                <w:color w:val="262626" w:themeColor="text1" w:themeTint="D9"/>
                <w:kern w:val="0"/>
                <w:sz w:val="28"/>
                <w:szCs w:val="28"/>
                <w:lang w:eastAsia="en-NZ"/>
                <w14:ligatures w14:val="none"/>
              </w:rPr>
              <w:t xml:space="preserve"> Mar</w:t>
            </w:r>
          </w:p>
        </w:tc>
        <w:tc>
          <w:tcPr>
            <w:tcW w:w="7346" w:type="dxa"/>
            <w:shd w:val="clear" w:color="auto" w:fill="E2EFD9" w:themeFill="accent6" w:themeFillTint="33"/>
            <w:vAlign w:val="center"/>
          </w:tcPr>
          <w:p w14:paraId="5DFA0FF6" w14:textId="3BED08A6" w:rsidR="009173B6" w:rsidRPr="00130E27" w:rsidRDefault="009173B6" w:rsidP="009173B6">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3MT training for faculty staff</w:t>
            </w:r>
          </w:p>
        </w:tc>
        <w:tc>
          <w:tcPr>
            <w:tcW w:w="1726" w:type="dxa"/>
            <w:shd w:val="clear" w:color="auto" w:fill="E2EFD9" w:themeFill="accent6" w:themeFillTint="33"/>
            <w:vAlign w:val="center"/>
          </w:tcPr>
          <w:p w14:paraId="5D433CC9" w14:textId="5B85E904" w:rsidR="009173B6" w:rsidRPr="00130E27" w:rsidRDefault="00A62D6B" w:rsidP="009173B6">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SC8</w:t>
            </w:r>
          </w:p>
        </w:tc>
        <w:tc>
          <w:tcPr>
            <w:tcW w:w="2194" w:type="dxa"/>
            <w:shd w:val="clear" w:color="auto" w:fill="E2EFD9" w:themeFill="accent6" w:themeFillTint="33"/>
            <w:vAlign w:val="center"/>
          </w:tcPr>
          <w:p w14:paraId="777FE4DA" w14:textId="38E1A149" w:rsidR="009173B6" w:rsidRPr="00130E27" w:rsidRDefault="00A629E1" w:rsidP="009173B6">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Staff session</w:t>
            </w:r>
          </w:p>
        </w:tc>
      </w:tr>
      <w:tr w:rsidR="009173B6" w:rsidRPr="003137C0" w14:paraId="5EC904B6" w14:textId="77777777" w:rsidTr="00A40179">
        <w:trPr>
          <w:trHeight w:val="91"/>
          <w:jc w:val="center"/>
        </w:trPr>
        <w:tc>
          <w:tcPr>
            <w:tcW w:w="1413" w:type="dxa"/>
            <w:vMerge/>
            <w:shd w:val="clear" w:color="auto" w:fill="E2EFD9" w:themeFill="accent6" w:themeFillTint="33"/>
            <w:vAlign w:val="center"/>
          </w:tcPr>
          <w:p w14:paraId="4398CBA6" w14:textId="77777777" w:rsidR="009173B6" w:rsidRPr="00130E27" w:rsidRDefault="009173B6" w:rsidP="009173B6">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57C97B8A" w14:textId="61ADF268" w:rsidR="009173B6" w:rsidRPr="00130E27" w:rsidRDefault="009173B6" w:rsidP="009173B6">
            <w:pPr>
              <w:spacing w:after="0" w:line="240" w:lineRule="auto"/>
              <w:rPr>
                <w:rFonts w:eastAsia="Times New Roman" w:cstheme="minorHAnsi"/>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26</w:t>
            </w:r>
            <w:r w:rsidR="005B79D9">
              <w:rPr>
                <w:rFonts w:eastAsia="Times New Roman" w:cstheme="minorHAnsi"/>
                <w:color w:val="262626" w:themeColor="text1" w:themeTint="D9"/>
                <w:kern w:val="0"/>
                <w:sz w:val="28"/>
                <w:szCs w:val="28"/>
                <w:lang w:eastAsia="en-NZ"/>
                <w14:ligatures w14:val="none"/>
              </w:rPr>
              <w:t xml:space="preserve"> Mar</w:t>
            </w:r>
          </w:p>
        </w:tc>
        <w:tc>
          <w:tcPr>
            <w:tcW w:w="7346" w:type="dxa"/>
            <w:shd w:val="clear" w:color="auto" w:fill="E2EFD9" w:themeFill="accent6" w:themeFillTint="33"/>
            <w:vAlign w:val="center"/>
          </w:tcPr>
          <w:p w14:paraId="67954DF9" w14:textId="082D106B" w:rsidR="009173B6" w:rsidRPr="00130E27" w:rsidRDefault="008C172F" w:rsidP="009173B6">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Supervision as a pedagogical encounter: Supporting students' professional development and upholding research integrity</w:t>
            </w:r>
          </w:p>
        </w:tc>
        <w:tc>
          <w:tcPr>
            <w:tcW w:w="1726" w:type="dxa"/>
            <w:shd w:val="clear" w:color="auto" w:fill="E2EFD9" w:themeFill="accent6" w:themeFillTint="33"/>
            <w:vAlign w:val="center"/>
          </w:tcPr>
          <w:p w14:paraId="65DD386D" w14:textId="1F105E13" w:rsidR="009173B6" w:rsidRPr="00130E27" w:rsidRDefault="00851F01" w:rsidP="00D013BB">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 xml:space="preserve">SC9, </w:t>
            </w:r>
            <w:r w:rsidR="00485D24" w:rsidRPr="00130E27">
              <w:rPr>
                <w:rFonts w:eastAsia="Times New Roman" w:cstheme="minorHAnsi"/>
                <w:color w:val="4472C4" w:themeColor="accent1"/>
                <w:kern w:val="0"/>
                <w:sz w:val="28"/>
                <w:szCs w:val="28"/>
                <w:lang w:eastAsia="en-NZ"/>
                <w14:ligatures w14:val="none"/>
              </w:rPr>
              <w:t>SC10</w:t>
            </w:r>
          </w:p>
        </w:tc>
        <w:tc>
          <w:tcPr>
            <w:tcW w:w="2194" w:type="dxa"/>
            <w:shd w:val="clear" w:color="auto" w:fill="E2EFD9" w:themeFill="accent6" w:themeFillTint="33"/>
            <w:vAlign w:val="center"/>
          </w:tcPr>
          <w:p w14:paraId="72CA87CF" w14:textId="3437B70E" w:rsidR="009173B6" w:rsidRPr="00130E27" w:rsidRDefault="00D013BB" w:rsidP="00D013BB">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Supervisor session</w:t>
            </w:r>
          </w:p>
        </w:tc>
      </w:tr>
      <w:tr w:rsidR="009173B6" w:rsidRPr="003137C0" w14:paraId="6A1FA1C9" w14:textId="77777777" w:rsidTr="00BB5F31">
        <w:trPr>
          <w:trHeight w:val="64"/>
          <w:jc w:val="center"/>
        </w:trPr>
        <w:tc>
          <w:tcPr>
            <w:tcW w:w="1413" w:type="dxa"/>
            <w:vMerge w:val="restart"/>
            <w:shd w:val="clear" w:color="auto" w:fill="FFFFFF"/>
            <w:vAlign w:val="center"/>
          </w:tcPr>
          <w:p w14:paraId="0CF47B8D" w14:textId="120B1DA3" w:rsidR="009173B6" w:rsidRPr="00130E27" w:rsidRDefault="009173B6" w:rsidP="009173B6">
            <w:pPr>
              <w:spacing w:after="0" w:line="240" w:lineRule="auto"/>
              <w:jc w:val="center"/>
              <w:rPr>
                <w:rFonts w:eastAsia="Times New Roman" w:cstheme="minorHAnsi"/>
                <w:b/>
                <w:bCs/>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April</w:t>
            </w:r>
          </w:p>
        </w:tc>
        <w:tc>
          <w:tcPr>
            <w:tcW w:w="1276" w:type="dxa"/>
            <w:shd w:val="clear" w:color="auto" w:fill="FFFFFF"/>
            <w:vAlign w:val="center"/>
          </w:tcPr>
          <w:p w14:paraId="1A349875" w14:textId="4A3E5C8D" w:rsidR="009173B6" w:rsidRPr="00130E27" w:rsidRDefault="0089301A" w:rsidP="009173B6">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0</w:t>
            </w:r>
            <w:r w:rsidR="00445524" w:rsidRPr="00130E27">
              <w:rPr>
                <w:rFonts w:eastAsia="Times New Roman" w:cstheme="minorHAnsi"/>
                <w:kern w:val="0"/>
                <w:sz w:val="28"/>
                <w:szCs w:val="28"/>
                <w:lang w:eastAsia="en-NZ"/>
                <w14:ligatures w14:val="none"/>
              </w:rPr>
              <w:t>1</w:t>
            </w:r>
            <w:r w:rsidR="009173B6" w:rsidRPr="00130E27">
              <w:rPr>
                <w:rFonts w:eastAsia="Times New Roman" w:cstheme="minorHAnsi"/>
                <w:kern w:val="0"/>
                <w:sz w:val="28"/>
                <w:szCs w:val="28"/>
                <w:lang w:eastAsia="en-NZ"/>
                <w14:ligatures w14:val="none"/>
              </w:rPr>
              <w:t xml:space="preserve"> Apr</w:t>
            </w:r>
          </w:p>
        </w:tc>
        <w:tc>
          <w:tcPr>
            <w:tcW w:w="7346" w:type="dxa"/>
            <w:shd w:val="clear" w:color="auto" w:fill="FFFFFF"/>
            <w:vAlign w:val="center"/>
          </w:tcPr>
          <w:p w14:paraId="6EC977E0" w14:textId="622BA358" w:rsidR="009173B6" w:rsidRPr="00130E27" w:rsidRDefault="009173B6" w:rsidP="009173B6">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 xml:space="preserve">Your thesis unlocked: </w:t>
            </w:r>
            <w:r w:rsidR="005E2B2B" w:rsidRPr="00130E27">
              <w:rPr>
                <w:rFonts w:eastAsia="Times New Roman" w:cstheme="minorHAnsi"/>
                <w:color w:val="262626" w:themeColor="text1" w:themeTint="D9"/>
                <w:kern w:val="0"/>
                <w:sz w:val="28"/>
                <w:szCs w:val="28"/>
                <w:lang w:eastAsia="en-NZ"/>
                <w14:ligatures w14:val="none"/>
              </w:rPr>
              <w:t>The Research Proposal</w:t>
            </w:r>
          </w:p>
        </w:tc>
        <w:tc>
          <w:tcPr>
            <w:tcW w:w="1726" w:type="dxa"/>
            <w:shd w:val="clear" w:color="auto" w:fill="FFFFFF"/>
            <w:vAlign w:val="center"/>
          </w:tcPr>
          <w:p w14:paraId="4208AF21" w14:textId="3FD6632D" w:rsidR="009173B6" w:rsidRPr="00130E27" w:rsidRDefault="009173B6" w:rsidP="009173B6">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w:t>
            </w:r>
            <w:r w:rsidR="00ED7B5D" w:rsidRPr="00130E27">
              <w:rPr>
                <w:rFonts w:eastAsia="Times New Roman" w:cstheme="minorHAnsi"/>
                <w:color w:val="262626" w:themeColor="text1" w:themeTint="D9"/>
                <w:kern w:val="0"/>
                <w:sz w:val="28"/>
                <w:szCs w:val="28"/>
                <w:lang w:eastAsia="en-NZ"/>
                <w14:ligatures w14:val="none"/>
              </w:rPr>
              <w:t>, SC8</w:t>
            </w:r>
          </w:p>
        </w:tc>
        <w:tc>
          <w:tcPr>
            <w:tcW w:w="2194" w:type="dxa"/>
            <w:shd w:val="clear" w:color="auto" w:fill="FFFFFF"/>
            <w:vAlign w:val="center"/>
          </w:tcPr>
          <w:p w14:paraId="62336E69" w14:textId="1FB36074" w:rsidR="009173B6" w:rsidRPr="00130E27" w:rsidRDefault="009173B6" w:rsidP="009173B6">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8A5EE5" w:rsidRPr="003137C0" w14:paraId="0A7F4BFA" w14:textId="77777777" w:rsidTr="00BB5F31">
        <w:trPr>
          <w:jc w:val="center"/>
        </w:trPr>
        <w:tc>
          <w:tcPr>
            <w:tcW w:w="1413" w:type="dxa"/>
            <w:vMerge/>
            <w:shd w:val="clear" w:color="auto" w:fill="FFFFFF"/>
            <w:vAlign w:val="center"/>
          </w:tcPr>
          <w:p w14:paraId="46F7B278" w14:textId="77777777" w:rsidR="008A5EE5" w:rsidRPr="00130E27" w:rsidRDefault="008A5EE5" w:rsidP="009173B6">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27868C66" w14:textId="7E3E723E" w:rsidR="008A5EE5" w:rsidRPr="00130E27" w:rsidRDefault="008A5EE5" w:rsidP="009173B6">
            <w:pPr>
              <w:spacing w:after="0" w:line="240" w:lineRule="auto"/>
              <w:rPr>
                <w:rFonts w:eastAsia="Times New Roman" w:cstheme="minorHAnsi"/>
                <w:kern w:val="0"/>
                <w:sz w:val="28"/>
                <w:szCs w:val="28"/>
                <w:lang w:eastAsia="en-NZ"/>
                <w14:ligatures w14:val="none"/>
              </w:rPr>
            </w:pPr>
            <w:r>
              <w:rPr>
                <w:rFonts w:eastAsia="Times New Roman" w:cstheme="minorHAnsi"/>
                <w:kern w:val="0"/>
                <w:sz w:val="28"/>
                <w:szCs w:val="28"/>
                <w:lang w:eastAsia="en-NZ"/>
                <w14:ligatures w14:val="none"/>
              </w:rPr>
              <w:t>01 Apr</w:t>
            </w:r>
          </w:p>
        </w:tc>
        <w:tc>
          <w:tcPr>
            <w:tcW w:w="7346" w:type="dxa"/>
            <w:shd w:val="clear" w:color="auto" w:fill="FFFFFF"/>
            <w:vAlign w:val="center"/>
          </w:tcPr>
          <w:p w14:paraId="6FC4E09F" w14:textId="0C0DEA75" w:rsidR="008A5EE5" w:rsidRPr="00130E27" w:rsidRDefault="004D4F13" w:rsidP="009173B6">
            <w:pPr>
              <w:spacing w:after="0" w:line="240" w:lineRule="auto"/>
              <w:rPr>
                <w:rFonts w:eastAsia="Times New Roman" w:cstheme="minorHAnsi"/>
                <w:color w:val="262626" w:themeColor="text1" w:themeTint="D9"/>
                <w:kern w:val="0"/>
                <w:sz w:val="28"/>
                <w:szCs w:val="28"/>
                <w:lang w:eastAsia="en-NZ"/>
                <w14:ligatures w14:val="none"/>
              </w:rPr>
            </w:pPr>
            <w:r>
              <w:rPr>
                <w:rFonts w:eastAsia="Times New Roman" w:cstheme="minorHAnsi"/>
                <w:color w:val="262626" w:themeColor="text1" w:themeTint="D9"/>
                <w:kern w:val="0"/>
                <w:sz w:val="28"/>
                <w:szCs w:val="28"/>
                <w:lang w:eastAsia="en-NZ"/>
                <w14:ligatures w14:val="none"/>
              </w:rPr>
              <w:t>Research showcase</w:t>
            </w:r>
            <w:r w:rsidR="008A5EE5">
              <w:rPr>
                <w:rFonts w:eastAsia="Times New Roman" w:cstheme="minorHAnsi"/>
                <w:color w:val="262626" w:themeColor="text1" w:themeTint="D9"/>
                <w:kern w:val="0"/>
                <w:sz w:val="28"/>
                <w:szCs w:val="28"/>
                <w:lang w:eastAsia="en-NZ"/>
                <w14:ligatures w14:val="none"/>
              </w:rPr>
              <w:t xml:space="preserve"> (Sustainability team)</w:t>
            </w:r>
          </w:p>
        </w:tc>
        <w:tc>
          <w:tcPr>
            <w:tcW w:w="1726" w:type="dxa"/>
            <w:shd w:val="clear" w:color="auto" w:fill="FFFFFF"/>
            <w:vAlign w:val="center"/>
          </w:tcPr>
          <w:p w14:paraId="6EEA1D1C" w14:textId="1866C19F" w:rsidR="008A5EE5" w:rsidRPr="00130E27" w:rsidRDefault="007342A7" w:rsidP="009173B6">
            <w:pPr>
              <w:spacing w:after="0" w:line="240" w:lineRule="auto"/>
              <w:jc w:val="center"/>
              <w:rPr>
                <w:rFonts w:eastAsia="Times New Roman" w:cstheme="minorHAnsi"/>
                <w:color w:val="262626" w:themeColor="text1" w:themeTint="D9"/>
                <w:kern w:val="0"/>
                <w:sz w:val="28"/>
                <w:szCs w:val="28"/>
                <w:lang w:eastAsia="en-NZ"/>
                <w14:ligatures w14:val="none"/>
              </w:rPr>
            </w:pPr>
            <w:r>
              <w:rPr>
                <w:rFonts w:eastAsia="Times New Roman" w:cstheme="minorHAnsi"/>
                <w:color w:val="262626" w:themeColor="text1" w:themeTint="D9"/>
                <w:kern w:val="0"/>
                <w:sz w:val="28"/>
                <w:szCs w:val="28"/>
                <w:lang w:eastAsia="en-NZ"/>
                <w14:ligatures w14:val="none"/>
              </w:rPr>
              <w:t>SC7</w:t>
            </w:r>
          </w:p>
        </w:tc>
        <w:tc>
          <w:tcPr>
            <w:tcW w:w="2194" w:type="dxa"/>
            <w:shd w:val="clear" w:color="auto" w:fill="FFFFFF"/>
            <w:vAlign w:val="center"/>
          </w:tcPr>
          <w:p w14:paraId="266BA400" w14:textId="3B6BB2B6" w:rsidR="008A5EE5" w:rsidRPr="00130E27" w:rsidRDefault="007342A7" w:rsidP="009173B6">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9173B6" w:rsidRPr="003137C0" w14:paraId="69CF45BB" w14:textId="77777777" w:rsidTr="00BB5F31">
        <w:trPr>
          <w:jc w:val="center"/>
        </w:trPr>
        <w:tc>
          <w:tcPr>
            <w:tcW w:w="1413" w:type="dxa"/>
            <w:vMerge/>
            <w:shd w:val="clear" w:color="auto" w:fill="FFFFFF"/>
            <w:vAlign w:val="center"/>
            <w:hideMark/>
          </w:tcPr>
          <w:p w14:paraId="46ADB793" w14:textId="77777777" w:rsidR="009173B6" w:rsidRPr="00130E27" w:rsidRDefault="009173B6" w:rsidP="009173B6">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hideMark/>
          </w:tcPr>
          <w:p w14:paraId="11684F48" w14:textId="331DD25F" w:rsidR="009173B6" w:rsidRPr="00130E27" w:rsidRDefault="009173B6" w:rsidP="009173B6">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1</w:t>
            </w:r>
            <w:r w:rsidR="00A97F99" w:rsidRPr="00130E27">
              <w:rPr>
                <w:rFonts w:eastAsia="Times New Roman" w:cstheme="minorHAnsi"/>
                <w:kern w:val="0"/>
                <w:sz w:val="28"/>
                <w:szCs w:val="28"/>
                <w:lang w:eastAsia="en-NZ"/>
                <w14:ligatures w14:val="none"/>
              </w:rPr>
              <w:t>4</w:t>
            </w:r>
            <w:r w:rsidRPr="00130E27">
              <w:rPr>
                <w:rFonts w:eastAsia="Times New Roman" w:cstheme="minorHAnsi"/>
                <w:kern w:val="0"/>
                <w:sz w:val="28"/>
                <w:szCs w:val="28"/>
                <w:lang w:eastAsia="en-NZ"/>
                <w14:ligatures w14:val="none"/>
              </w:rPr>
              <w:t xml:space="preserve"> Apr</w:t>
            </w:r>
          </w:p>
        </w:tc>
        <w:tc>
          <w:tcPr>
            <w:tcW w:w="7346" w:type="dxa"/>
            <w:shd w:val="clear" w:color="auto" w:fill="FFFFFF"/>
            <w:vAlign w:val="center"/>
            <w:hideMark/>
          </w:tcPr>
          <w:p w14:paraId="69B63E91" w14:textId="2AA75E76" w:rsidR="009173B6" w:rsidRPr="00130E27" w:rsidRDefault="00086931" w:rsidP="009173B6">
            <w:pPr>
              <w:spacing w:after="0" w:line="240" w:lineRule="auto"/>
              <w:rPr>
                <w:rFonts w:eastAsia="Times New Roman" w:cstheme="minorHAnsi"/>
                <w:color w:val="7030A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Data management: Good practices for success</w:t>
            </w:r>
          </w:p>
        </w:tc>
        <w:tc>
          <w:tcPr>
            <w:tcW w:w="1726" w:type="dxa"/>
            <w:shd w:val="clear" w:color="auto" w:fill="FFFFFF"/>
            <w:vAlign w:val="center"/>
          </w:tcPr>
          <w:p w14:paraId="56ED8D40" w14:textId="285945C8" w:rsidR="009173B6" w:rsidRPr="00130E27" w:rsidRDefault="00086931" w:rsidP="009173B6">
            <w:pPr>
              <w:spacing w:after="0" w:line="240" w:lineRule="auto"/>
              <w:jc w:val="center"/>
              <w:rPr>
                <w:rFonts w:eastAsia="Times New Roman" w:cstheme="minorHAnsi"/>
                <w:color w:val="7030A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SC3</w:t>
            </w:r>
          </w:p>
        </w:tc>
        <w:tc>
          <w:tcPr>
            <w:tcW w:w="2194" w:type="dxa"/>
            <w:shd w:val="clear" w:color="auto" w:fill="FFFFFF"/>
            <w:vAlign w:val="center"/>
          </w:tcPr>
          <w:p w14:paraId="0F8B3079" w14:textId="68170A28" w:rsidR="009173B6" w:rsidRPr="00130E27" w:rsidRDefault="009173B6" w:rsidP="009173B6">
            <w:pPr>
              <w:spacing w:after="0" w:line="240" w:lineRule="auto"/>
              <w:jc w:val="center"/>
              <w:rPr>
                <w:rFonts w:eastAsia="Times New Roman" w:cstheme="minorHAnsi"/>
                <w:color w:val="7030A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6284F" w:rsidRPr="003137C0" w14:paraId="0B47CC65" w14:textId="77777777" w:rsidTr="00BB5F31">
        <w:trPr>
          <w:jc w:val="center"/>
        </w:trPr>
        <w:tc>
          <w:tcPr>
            <w:tcW w:w="1413" w:type="dxa"/>
            <w:vMerge/>
            <w:shd w:val="clear" w:color="auto" w:fill="FFFFFF"/>
            <w:vAlign w:val="center"/>
            <w:hideMark/>
          </w:tcPr>
          <w:p w14:paraId="4FB3047A" w14:textId="77777777" w:rsidR="00F6284F" w:rsidRPr="00130E27" w:rsidRDefault="00F6284F" w:rsidP="00F6284F">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hideMark/>
          </w:tcPr>
          <w:p w14:paraId="21BFAB97" w14:textId="41FC9A9F"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21 Apr</w:t>
            </w:r>
          </w:p>
        </w:tc>
        <w:tc>
          <w:tcPr>
            <w:tcW w:w="7346" w:type="dxa"/>
            <w:shd w:val="clear" w:color="auto" w:fill="FFFFFF"/>
            <w:vAlign w:val="center"/>
          </w:tcPr>
          <w:p w14:paraId="51268F94" w14:textId="7BA97266" w:rsidR="00F6284F" w:rsidRPr="00130E27" w:rsidRDefault="008851BC" w:rsidP="00F6284F">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Publishing your research work</w:t>
            </w:r>
          </w:p>
        </w:tc>
        <w:tc>
          <w:tcPr>
            <w:tcW w:w="1726" w:type="dxa"/>
            <w:shd w:val="clear" w:color="auto" w:fill="FFFFFF"/>
            <w:vAlign w:val="center"/>
          </w:tcPr>
          <w:p w14:paraId="48845A21" w14:textId="53D89C96" w:rsidR="00F6284F" w:rsidRPr="00130E27" w:rsidRDefault="009274F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w:t>
            </w:r>
            <w:r w:rsidR="00B514FE" w:rsidRPr="00130E27">
              <w:rPr>
                <w:rFonts w:eastAsia="Times New Roman" w:cstheme="minorHAnsi"/>
                <w:color w:val="262626" w:themeColor="text1" w:themeTint="D9"/>
                <w:kern w:val="0"/>
                <w:sz w:val="28"/>
                <w:szCs w:val="28"/>
                <w:lang w:eastAsia="en-NZ"/>
                <w14:ligatures w14:val="none"/>
              </w:rPr>
              <w:t>7</w:t>
            </w:r>
          </w:p>
        </w:tc>
        <w:tc>
          <w:tcPr>
            <w:tcW w:w="2194" w:type="dxa"/>
            <w:shd w:val="clear" w:color="auto" w:fill="FFFFFF"/>
            <w:vAlign w:val="center"/>
          </w:tcPr>
          <w:p w14:paraId="4F5F04CB" w14:textId="673CCF4D"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301941" w:rsidRPr="003137C0" w14:paraId="4C9C90AB" w14:textId="77777777" w:rsidTr="00BB5F31">
        <w:trPr>
          <w:jc w:val="center"/>
        </w:trPr>
        <w:tc>
          <w:tcPr>
            <w:tcW w:w="1413" w:type="dxa"/>
            <w:vMerge/>
            <w:shd w:val="clear" w:color="auto" w:fill="FFFFFF"/>
            <w:vAlign w:val="center"/>
          </w:tcPr>
          <w:p w14:paraId="18355A9B" w14:textId="77777777" w:rsidR="00301941" w:rsidRPr="00130E27" w:rsidRDefault="00301941" w:rsidP="0030194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51E1A0C2" w14:textId="0FF2AEC9" w:rsidR="00301941" w:rsidRPr="00130E27" w:rsidRDefault="00301941" w:rsidP="00301941">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22 Apr</w:t>
            </w:r>
          </w:p>
        </w:tc>
        <w:tc>
          <w:tcPr>
            <w:tcW w:w="7346" w:type="dxa"/>
            <w:shd w:val="clear" w:color="auto" w:fill="FFFFFF"/>
            <w:vAlign w:val="center"/>
          </w:tcPr>
          <w:p w14:paraId="57E11202" w14:textId="6F919135" w:rsidR="00301941" w:rsidRPr="00130E27" w:rsidRDefault="00301941" w:rsidP="00301941">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Neurodiversity in research supervision</w:t>
            </w:r>
          </w:p>
        </w:tc>
        <w:tc>
          <w:tcPr>
            <w:tcW w:w="1726" w:type="dxa"/>
            <w:shd w:val="clear" w:color="auto" w:fill="FFFFFF"/>
            <w:vAlign w:val="center"/>
          </w:tcPr>
          <w:p w14:paraId="707CC744" w14:textId="1D18F026" w:rsidR="00301941" w:rsidRPr="00130E27" w:rsidRDefault="00851F01" w:rsidP="00301941">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 xml:space="preserve">SC9, </w:t>
            </w:r>
            <w:r w:rsidR="00301941" w:rsidRPr="00130E27">
              <w:rPr>
                <w:rFonts w:eastAsia="Times New Roman" w:cstheme="minorHAnsi"/>
                <w:color w:val="4472C4" w:themeColor="accent1"/>
                <w:kern w:val="0"/>
                <w:sz w:val="28"/>
                <w:szCs w:val="28"/>
                <w:lang w:eastAsia="en-NZ"/>
                <w14:ligatures w14:val="none"/>
              </w:rPr>
              <w:t>SC10</w:t>
            </w:r>
          </w:p>
        </w:tc>
        <w:tc>
          <w:tcPr>
            <w:tcW w:w="2194" w:type="dxa"/>
            <w:shd w:val="clear" w:color="auto" w:fill="FFFFFF"/>
            <w:vAlign w:val="center"/>
          </w:tcPr>
          <w:p w14:paraId="7DF57529" w14:textId="263BCF28" w:rsidR="00301941" w:rsidRPr="00130E27" w:rsidRDefault="00301941" w:rsidP="00301941">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Supervisor session</w:t>
            </w:r>
          </w:p>
        </w:tc>
      </w:tr>
      <w:tr w:rsidR="00F6284F" w:rsidRPr="003137C0" w14:paraId="496FE3FB" w14:textId="77777777" w:rsidTr="00BB5F31">
        <w:trPr>
          <w:jc w:val="center"/>
        </w:trPr>
        <w:tc>
          <w:tcPr>
            <w:tcW w:w="1413" w:type="dxa"/>
            <w:vMerge/>
            <w:shd w:val="clear" w:color="auto" w:fill="FFFFFF"/>
            <w:vAlign w:val="center"/>
          </w:tcPr>
          <w:p w14:paraId="2B2ADF2E" w14:textId="77777777" w:rsidR="00F6284F" w:rsidRPr="00130E27" w:rsidRDefault="00F6284F" w:rsidP="00F6284F">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26C0A72D" w14:textId="6646F4B0"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2</w:t>
            </w:r>
            <w:r w:rsidR="00020DBB" w:rsidRPr="00130E27">
              <w:rPr>
                <w:rFonts w:eastAsia="Times New Roman" w:cstheme="minorHAnsi"/>
                <w:kern w:val="0"/>
                <w:sz w:val="28"/>
                <w:szCs w:val="28"/>
                <w:lang w:eastAsia="en-NZ"/>
                <w14:ligatures w14:val="none"/>
              </w:rPr>
              <w:t>8</w:t>
            </w:r>
            <w:r w:rsidRPr="00130E27">
              <w:rPr>
                <w:rFonts w:eastAsia="Times New Roman" w:cstheme="minorHAnsi"/>
                <w:kern w:val="0"/>
                <w:sz w:val="28"/>
                <w:szCs w:val="28"/>
                <w:lang w:eastAsia="en-NZ"/>
                <w14:ligatures w14:val="none"/>
              </w:rPr>
              <w:t xml:space="preserve"> Apr</w:t>
            </w:r>
          </w:p>
        </w:tc>
        <w:tc>
          <w:tcPr>
            <w:tcW w:w="7346" w:type="dxa"/>
            <w:shd w:val="clear" w:color="auto" w:fill="FFFFFF"/>
            <w:vAlign w:val="center"/>
          </w:tcPr>
          <w:p w14:paraId="47DA3D6B" w14:textId="4DDC7D44" w:rsidR="00F6284F" w:rsidRPr="00130E27" w:rsidRDefault="00F6284F" w:rsidP="00F6284F">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Orientation to PGR supervision</w:t>
            </w:r>
          </w:p>
        </w:tc>
        <w:tc>
          <w:tcPr>
            <w:tcW w:w="1726" w:type="dxa"/>
            <w:shd w:val="clear" w:color="auto" w:fill="FFFFFF"/>
            <w:vAlign w:val="center"/>
          </w:tcPr>
          <w:p w14:paraId="25616435" w14:textId="2407C8A5" w:rsidR="00F6284F" w:rsidRPr="00130E27" w:rsidRDefault="00F6284F" w:rsidP="00F6284F">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SC8, SC10</w:t>
            </w:r>
          </w:p>
        </w:tc>
        <w:tc>
          <w:tcPr>
            <w:tcW w:w="2194" w:type="dxa"/>
            <w:shd w:val="clear" w:color="auto" w:fill="FFFFFF"/>
            <w:vAlign w:val="center"/>
          </w:tcPr>
          <w:p w14:paraId="1A730412" w14:textId="4AC291D5" w:rsidR="00F6284F" w:rsidRPr="00130E27" w:rsidRDefault="00F6284F" w:rsidP="00F6284F">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Supervisor session</w:t>
            </w:r>
          </w:p>
        </w:tc>
      </w:tr>
      <w:tr w:rsidR="00F6284F" w:rsidRPr="003137C0" w14:paraId="44377063" w14:textId="77777777" w:rsidTr="00BB5F31">
        <w:trPr>
          <w:jc w:val="center"/>
        </w:trPr>
        <w:tc>
          <w:tcPr>
            <w:tcW w:w="1413" w:type="dxa"/>
            <w:vMerge/>
            <w:shd w:val="clear" w:color="auto" w:fill="FFFFFF"/>
            <w:vAlign w:val="center"/>
          </w:tcPr>
          <w:p w14:paraId="45C80DA0" w14:textId="77777777" w:rsidR="00F6284F" w:rsidRPr="00130E27" w:rsidRDefault="00F6284F" w:rsidP="00F6284F">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26BF9163" w14:textId="147712BA"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30</w:t>
            </w:r>
            <w:r w:rsidR="005B79D9">
              <w:rPr>
                <w:rFonts w:eastAsia="Times New Roman" w:cstheme="minorHAnsi"/>
                <w:kern w:val="0"/>
                <w:sz w:val="28"/>
                <w:szCs w:val="28"/>
                <w:lang w:eastAsia="en-NZ"/>
                <w14:ligatures w14:val="none"/>
              </w:rPr>
              <w:t xml:space="preserve"> Apr</w:t>
            </w:r>
          </w:p>
        </w:tc>
        <w:tc>
          <w:tcPr>
            <w:tcW w:w="7346" w:type="dxa"/>
            <w:shd w:val="clear" w:color="auto" w:fill="FFFFFF"/>
            <w:vAlign w:val="center"/>
          </w:tcPr>
          <w:p w14:paraId="1E3949C6" w14:textId="7C4A3D97" w:rsidR="00F6284F" w:rsidRPr="00130E27" w:rsidRDefault="00F6284F" w:rsidP="00F6284F">
            <w:pPr>
              <w:spacing w:after="0" w:line="240" w:lineRule="auto"/>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Write, munch, and connect: One-day mini writing bootcamp</w:t>
            </w:r>
          </w:p>
        </w:tc>
        <w:tc>
          <w:tcPr>
            <w:tcW w:w="1726" w:type="dxa"/>
            <w:shd w:val="clear" w:color="auto" w:fill="FFFFFF"/>
            <w:vAlign w:val="center"/>
          </w:tcPr>
          <w:p w14:paraId="2559C46B" w14:textId="16748336" w:rsidR="00F6284F" w:rsidRPr="00130E27" w:rsidRDefault="00F6284F" w:rsidP="00F6284F">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SC5</w:t>
            </w:r>
          </w:p>
        </w:tc>
        <w:tc>
          <w:tcPr>
            <w:tcW w:w="2194" w:type="dxa"/>
            <w:shd w:val="clear" w:color="auto" w:fill="FFFFFF"/>
            <w:vAlign w:val="center"/>
          </w:tcPr>
          <w:p w14:paraId="16CFFD5C" w14:textId="4729C018" w:rsidR="00F6284F" w:rsidRPr="00130E27" w:rsidRDefault="00F6284F" w:rsidP="00F6284F">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Bootcamp</w:t>
            </w:r>
          </w:p>
        </w:tc>
      </w:tr>
      <w:tr w:rsidR="00F6284F" w:rsidRPr="003137C0" w14:paraId="0764DF08" w14:textId="77777777" w:rsidTr="00BB5F31">
        <w:trPr>
          <w:jc w:val="center"/>
        </w:trPr>
        <w:tc>
          <w:tcPr>
            <w:tcW w:w="1413" w:type="dxa"/>
            <w:vMerge w:val="restart"/>
            <w:shd w:val="clear" w:color="auto" w:fill="E2EFD9" w:themeFill="accent6" w:themeFillTint="33"/>
            <w:vAlign w:val="center"/>
          </w:tcPr>
          <w:p w14:paraId="393B4698" w14:textId="58FE91CB" w:rsidR="00F6284F" w:rsidRPr="00130E27" w:rsidRDefault="00F6284F" w:rsidP="00F6284F">
            <w:pPr>
              <w:spacing w:after="0" w:line="240" w:lineRule="auto"/>
              <w:jc w:val="center"/>
              <w:rPr>
                <w:rFonts w:eastAsia="Times New Roman" w:cstheme="minorHAnsi"/>
                <w:b/>
                <w:bCs/>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May</w:t>
            </w:r>
          </w:p>
        </w:tc>
        <w:tc>
          <w:tcPr>
            <w:tcW w:w="1276" w:type="dxa"/>
            <w:shd w:val="clear" w:color="auto" w:fill="E2EFD9" w:themeFill="accent6" w:themeFillTint="33"/>
            <w:vAlign w:val="center"/>
          </w:tcPr>
          <w:p w14:paraId="320FFE6D" w14:textId="65B1729D"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07</w:t>
            </w:r>
            <w:r w:rsidR="005471B3">
              <w:rPr>
                <w:rFonts w:eastAsia="Times New Roman" w:cstheme="minorHAnsi"/>
                <w:kern w:val="0"/>
                <w:sz w:val="28"/>
                <w:szCs w:val="28"/>
                <w:lang w:eastAsia="en-NZ"/>
                <w14:ligatures w14:val="none"/>
              </w:rPr>
              <w:t xml:space="preserve"> May</w:t>
            </w:r>
          </w:p>
        </w:tc>
        <w:tc>
          <w:tcPr>
            <w:tcW w:w="7346" w:type="dxa"/>
            <w:shd w:val="clear" w:color="auto" w:fill="E2EFD9" w:themeFill="accent6" w:themeFillTint="33"/>
            <w:vAlign w:val="center"/>
          </w:tcPr>
          <w:p w14:paraId="2AA060D5" w14:textId="2AA80A21" w:rsidR="00F6284F" w:rsidRPr="00130E27" w:rsidRDefault="00F6284F" w:rsidP="00F6284F">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Your thesis unlocked: A guide to structuring your thesis</w:t>
            </w:r>
          </w:p>
        </w:tc>
        <w:tc>
          <w:tcPr>
            <w:tcW w:w="1726" w:type="dxa"/>
            <w:shd w:val="clear" w:color="auto" w:fill="E2EFD9" w:themeFill="accent6" w:themeFillTint="33"/>
            <w:vAlign w:val="center"/>
          </w:tcPr>
          <w:p w14:paraId="65AF9EEC" w14:textId="6EE2A866"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w:t>
            </w:r>
          </w:p>
        </w:tc>
        <w:tc>
          <w:tcPr>
            <w:tcW w:w="2194" w:type="dxa"/>
            <w:shd w:val="clear" w:color="auto" w:fill="E2EFD9" w:themeFill="accent6" w:themeFillTint="33"/>
            <w:vAlign w:val="center"/>
          </w:tcPr>
          <w:p w14:paraId="1D70B1E2" w14:textId="086345B9"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6284F" w:rsidRPr="003137C0" w14:paraId="7A543918" w14:textId="77777777" w:rsidTr="00BB5F31">
        <w:trPr>
          <w:jc w:val="center"/>
        </w:trPr>
        <w:tc>
          <w:tcPr>
            <w:tcW w:w="1413" w:type="dxa"/>
            <w:vMerge/>
            <w:shd w:val="clear" w:color="auto" w:fill="E2EFD9" w:themeFill="accent6" w:themeFillTint="33"/>
            <w:vAlign w:val="center"/>
          </w:tcPr>
          <w:p w14:paraId="23B34469" w14:textId="77777777" w:rsidR="00F6284F" w:rsidRPr="00130E27" w:rsidRDefault="00F6284F" w:rsidP="00F6284F">
            <w:pPr>
              <w:spacing w:after="0" w:line="240" w:lineRule="auto"/>
              <w:jc w:val="center"/>
              <w:rPr>
                <w:rFonts w:eastAsia="Times New Roman" w:cstheme="minorHAnsi"/>
                <w:b/>
                <w:bCs/>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2F5439E0" w14:textId="27F45D60"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14</w:t>
            </w:r>
            <w:r w:rsidR="005471B3">
              <w:rPr>
                <w:rFonts w:eastAsia="Times New Roman" w:cstheme="minorHAnsi"/>
                <w:kern w:val="0"/>
                <w:sz w:val="28"/>
                <w:szCs w:val="28"/>
                <w:lang w:eastAsia="en-NZ"/>
                <w14:ligatures w14:val="none"/>
              </w:rPr>
              <w:t xml:space="preserve"> May</w:t>
            </w:r>
          </w:p>
        </w:tc>
        <w:tc>
          <w:tcPr>
            <w:tcW w:w="7346" w:type="dxa"/>
            <w:shd w:val="clear" w:color="auto" w:fill="E2EFD9" w:themeFill="accent6" w:themeFillTint="33"/>
            <w:vAlign w:val="center"/>
          </w:tcPr>
          <w:p w14:paraId="4D3D1606" w14:textId="637676A3" w:rsidR="00F6284F" w:rsidRPr="00130E27" w:rsidRDefault="00F6284F" w:rsidP="00F6284F">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Your thesis unlocked: Abstract and Introduction</w:t>
            </w:r>
          </w:p>
        </w:tc>
        <w:tc>
          <w:tcPr>
            <w:tcW w:w="1726" w:type="dxa"/>
            <w:shd w:val="clear" w:color="auto" w:fill="E2EFD9" w:themeFill="accent6" w:themeFillTint="33"/>
            <w:vAlign w:val="center"/>
          </w:tcPr>
          <w:p w14:paraId="3B82C13E" w14:textId="52B24067"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w:t>
            </w:r>
          </w:p>
        </w:tc>
        <w:tc>
          <w:tcPr>
            <w:tcW w:w="2194" w:type="dxa"/>
            <w:shd w:val="clear" w:color="auto" w:fill="E2EFD9" w:themeFill="accent6" w:themeFillTint="33"/>
            <w:vAlign w:val="center"/>
          </w:tcPr>
          <w:p w14:paraId="223C31EE" w14:textId="1B5D8C8E"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6284F" w:rsidRPr="003137C0" w14:paraId="60CBA981" w14:textId="77777777" w:rsidTr="00BB5F31">
        <w:trPr>
          <w:jc w:val="center"/>
        </w:trPr>
        <w:tc>
          <w:tcPr>
            <w:tcW w:w="1413" w:type="dxa"/>
            <w:vMerge/>
            <w:shd w:val="clear" w:color="auto" w:fill="E2EFD9" w:themeFill="accent6" w:themeFillTint="33"/>
            <w:vAlign w:val="center"/>
          </w:tcPr>
          <w:p w14:paraId="2FEF3B2D" w14:textId="77777777" w:rsidR="00F6284F" w:rsidRPr="00130E27" w:rsidRDefault="00F6284F" w:rsidP="00F6284F">
            <w:pPr>
              <w:spacing w:after="0" w:line="240" w:lineRule="auto"/>
              <w:jc w:val="center"/>
              <w:rPr>
                <w:rFonts w:eastAsia="Times New Roman" w:cstheme="minorHAnsi"/>
                <w:b/>
                <w:bCs/>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07BE05B1" w14:textId="53C60C02"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19</w:t>
            </w:r>
            <w:r w:rsidR="005471B3">
              <w:rPr>
                <w:rFonts w:eastAsia="Times New Roman" w:cstheme="minorHAnsi"/>
                <w:kern w:val="0"/>
                <w:sz w:val="28"/>
                <w:szCs w:val="28"/>
                <w:lang w:eastAsia="en-NZ"/>
                <w14:ligatures w14:val="none"/>
              </w:rPr>
              <w:t xml:space="preserve"> May</w:t>
            </w:r>
          </w:p>
        </w:tc>
        <w:tc>
          <w:tcPr>
            <w:tcW w:w="7346" w:type="dxa"/>
            <w:shd w:val="clear" w:color="auto" w:fill="E2EFD9" w:themeFill="accent6" w:themeFillTint="33"/>
            <w:vAlign w:val="center"/>
          </w:tcPr>
          <w:p w14:paraId="1FED10B3" w14:textId="1D946B0E" w:rsidR="00F6284F" w:rsidRPr="00130E27" w:rsidRDefault="00996CD1" w:rsidP="00F6284F">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Thesis formatting and MS Word</w:t>
            </w:r>
          </w:p>
        </w:tc>
        <w:tc>
          <w:tcPr>
            <w:tcW w:w="1726" w:type="dxa"/>
            <w:shd w:val="clear" w:color="auto" w:fill="E2EFD9" w:themeFill="accent6" w:themeFillTint="33"/>
            <w:vAlign w:val="center"/>
          </w:tcPr>
          <w:p w14:paraId="64A65BBF" w14:textId="5CA7EBE4"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w:t>
            </w:r>
            <w:r w:rsidR="00B514FE" w:rsidRPr="00130E27">
              <w:rPr>
                <w:rFonts w:eastAsia="Times New Roman" w:cstheme="minorHAnsi"/>
                <w:color w:val="262626" w:themeColor="text1" w:themeTint="D9"/>
                <w:kern w:val="0"/>
                <w:sz w:val="28"/>
                <w:szCs w:val="28"/>
                <w:lang w:eastAsia="en-NZ"/>
                <w14:ligatures w14:val="none"/>
              </w:rPr>
              <w:t>5</w:t>
            </w:r>
          </w:p>
        </w:tc>
        <w:tc>
          <w:tcPr>
            <w:tcW w:w="2194" w:type="dxa"/>
            <w:shd w:val="clear" w:color="auto" w:fill="E2EFD9" w:themeFill="accent6" w:themeFillTint="33"/>
            <w:vAlign w:val="center"/>
          </w:tcPr>
          <w:p w14:paraId="5D1A9B7B" w14:textId="3CC042E3"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6284F" w:rsidRPr="003137C0" w14:paraId="5E16D413" w14:textId="77777777" w:rsidTr="00BB5F31">
        <w:trPr>
          <w:jc w:val="center"/>
        </w:trPr>
        <w:tc>
          <w:tcPr>
            <w:tcW w:w="1413" w:type="dxa"/>
            <w:vMerge/>
            <w:shd w:val="clear" w:color="auto" w:fill="E2EFD9" w:themeFill="accent6" w:themeFillTint="33"/>
            <w:vAlign w:val="center"/>
          </w:tcPr>
          <w:p w14:paraId="6241B9F2" w14:textId="77777777" w:rsidR="00F6284F" w:rsidRPr="00130E27" w:rsidRDefault="00F6284F" w:rsidP="00F6284F">
            <w:pPr>
              <w:spacing w:after="0" w:line="240" w:lineRule="auto"/>
              <w:jc w:val="center"/>
              <w:rPr>
                <w:rFonts w:eastAsia="Times New Roman" w:cstheme="minorHAnsi"/>
                <w:b/>
                <w:bCs/>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0E876304" w14:textId="7549417D"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21</w:t>
            </w:r>
            <w:r w:rsidR="005471B3">
              <w:rPr>
                <w:rFonts w:eastAsia="Times New Roman" w:cstheme="minorHAnsi"/>
                <w:kern w:val="0"/>
                <w:sz w:val="28"/>
                <w:szCs w:val="28"/>
                <w:lang w:eastAsia="en-NZ"/>
                <w14:ligatures w14:val="none"/>
              </w:rPr>
              <w:t xml:space="preserve"> May</w:t>
            </w:r>
          </w:p>
        </w:tc>
        <w:tc>
          <w:tcPr>
            <w:tcW w:w="7346" w:type="dxa"/>
            <w:shd w:val="clear" w:color="auto" w:fill="E2EFD9" w:themeFill="accent6" w:themeFillTint="33"/>
            <w:vAlign w:val="center"/>
          </w:tcPr>
          <w:p w14:paraId="7AEE4BB8" w14:textId="4A7AE0D2" w:rsidR="00F6284F" w:rsidRPr="00130E27" w:rsidRDefault="0010757D" w:rsidP="00F6284F">
            <w:pPr>
              <w:spacing w:after="0" w:line="240" w:lineRule="auto"/>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Creative tools you can use every day</w:t>
            </w:r>
          </w:p>
        </w:tc>
        <w:tc>
          <w:tcPr>
            <w:tcW w:w="1726" w:type="dxa"/>
            <w:shd w:val="clear" w:color="auto" w:fill="E2EFD9" w:themeFill="accent6" w:themeFillTint="33"/>
            <w:vAlign w:val="center"/>
          </w:tcPr>
          <w:p w14:paraId="22DBC5AF" w14:textId="4D7FD44E"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SC</w:t>
            </w:r>
            <w:r w:rsidR="004004A3" w:rsidRPr="00837457">
              <w:rPr>
                <w:rFonts w:eastAsia="Times New Roman" w:cstheme="minorHAnsi"/>
                <w:color w:val="262626" w:themeColor="text1" w:themeTint="D9"/>
                <w:kern w:val="0"/>
                <w:sz w:val="28"/>
                <w:szCs w:val="28"/>
                <w:lang w:eastAsia="en-NZ"/>
                <w14:ligatures w14:val="none"/>
              </w:rPr>
              <w:t>8</w:t>
            </w:r>
          </w:p>
        </w:tc>
        <w:tc>
          <w:tcPr>
            <w:tcW w:w="2194" w:type="dxa"/>
            <w:shd w:val="clear" w:color="auto" w:fill="E2EFD9" w:themeFill="accent6" w:themeFillTint="33"/>
            <w:vAlign w:val="center"/>
          </w:tcPr>
          <w:p w14:paraId="643B9D85" w14:textId="69A266B0"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Student workshop</w:t>
            </w:r>
          </w:p>
        </w:tc>
      </w:tr>
      <w:tr w:rsidR="00F6284F" w:rsidRPr="003137C0" w14:paraId="0FF8BD1A" w14:textId="77777777" w:rsidTr="00BB5F31">
        <w:trPr>
          <w:jc w:val="center"/>
        </w:trPr>
        <w:tc>
          <w:tcPr>
            <w:tcW w:w="1413" w:type="dxa"/>
            <w:vMerge/>
            <w:shd w:val="clear" w:color="auto" w:fill="E2EFD9" w:themeFill="accent6" w:themeFillTint="33"/>
            <w:vAlign w:val="center"/>
          </w:tcPr>
          <w:p w14:paraId="3875F1D3" w14:textId="77777777" w:rsidR="00F6284F" w:rsidRPr="00130E27" w:rsidRDefault="00F6284F" w:rsidP="00F6284F">
            <w:pPr>
              <w:spacing w:after="0" w:line="240" w:lineRule="auto"/>
              <w:jc w:val="center"/>
              <w:rPr>
                <w:rFonts w:eastAsia="Times New Roman" w:cstheme="minorHAnsi"/>
                <w:b/>
                <w:bCs/>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1FCB0A11" w14:textId="394EF352"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28</w:t>
            </w:r>
            <w:r w:rsidR="005471B3">
              <w:rPr>
                <w:rFonts w:eastAsia="Times New Roman" w:cstheme="minorHAnsi"/>
                <w:kern w:val="0"/>
                <w:sz w:val="28"/>
                <w:szCs w:val="28"/>
                <w:lang w:eastAsia="en-NZ"/>
                <w14:ligatures w14:val="none"/>
              </w:rPr>
              <w:t xml:space="preserve"> May</w:t>
            </w:r>
          </w:p>
        </w:tc>
        <w:tc>
          <w:tcPr>
            <w:tcW w:w="7346" w:type="dxa"/>
            <w:shd w:val="clear" w:color="auto" w:fill="E2EFD9" w:themeFill="accent6" w:themeFillTint="33"/>
            <w:vAlign w:val="center"/>
          </w:tcPr>
          <w:p w14:paraId="4B4DE805" w14:textId="164A5DCF" w:rsidR="00F6284F" w:rsidRPr="00130E27" w:rsidRDefault="00F6284F" w:rsidP="00F6284F">
            <w:pPr>
              <w:spacing w:after="0" w:line="240" w:lineRule="auto"/>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Write, munch, and connect: One-day mini writing bootcamp</w:t>
            </w:r>
          </w:p>
        </w:tc>
        <w:tc>
          <w:tcPr>
            <w:tcW w:w="1726" w:type="dxa"/>
            <w:shd w:val="clear" w:color="auto" w:fill="E2EFD9" w:themeFill="accent6" w:themeFillTint="33"/>
            <w:vAlign w:val="center"/>
          </w:tcPr>
          <w:p w14:paraId="06CAEA5A" w14:textId="3DFD88F2" w:rsidR="00F6284F" w:rsidRPr="00130E27" w:rsidRDefault="00F6284F" w:rsidP="00F6284F">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SC5</w:t>
            </w:r>
          </w:p>
        </w:tc>
        <w:tc>
          <w:tcPr>
            <w:tcW w:w="2194" w:type="dxa"/>
            <w:shd w:val="clear" w:color="auto" w:fill="E2EFD9" w:themeFill="accent6" w:themeFillTint="33"/>
            <w:vAlign w:val="center"/>
          </w:tcPr>
          <w:p w14:paraId="318D2CB4" w14:textId="427B6EFA" w:rsidR="00F6284F" w:rsidRPr="00130E27" w:rsidRDefault="00F6284F" w:rsidP="00F6284F">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Bootcamp</w:t>
            </w:r>
          </w:p>
        </w:tc>
      </w:tr>
      <w:tr w:rsidR="00F6284F" w:rsidRPr="003137C0" w14:paraId="31448664" w14:textId="77777777" w:rsidTr="00BB5F31">
        <w:trPr>
          <w:jc w:val="center"/>
        </w:trPr>
        <w:tc>
          <w:tcPr>
            <w:tcW w:w="1413" w:type="dxa"/>
            <w:vMerge w:val="restart"/>
            <w:shd w:val="clear" w:color="auto" w:fill="auto"/>
            <w:vAlign w:val="center"/>
            <w:hideMark/>
          </w:tcPr>
          <w:p w14:paraId="5C7900B4" w14:textId="0142FB37" w:rsidR="00F6284F" w:rsidRPr="00130E27" w:rsidRDefault="00F6284F"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June</w:t>
            </w:r>
          </w:p>
        </w:tc>
        <w:tc>
          <w:tcPr>
            <w:tcW w:w="1276" w:type="dxa"/>
            <w:shd w:val="clear" w:color="auto" w:fill="auto"/>
            <w:vAlign w:val="center"/>
          </w:tcPr>
          <w:p w14:paraId="291CD435" w14:textId="753BA717"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04</w:t>
            </w:r>
            <w:r w:rsidR="005471B3">
              <w:rPr>
                <w:rFonts w:eastAsia="Times New Roman" w:cstheme="minorHAnsi"/>
                <w:kern w:val="0"/>
                <w:sz w:val="28"/>
                <w:szCs w:val="28"/>
                <w:lang w:eastAsia="en-NZ"/>
                <w14:ligatures w14:val="none"/>
              </w:rPr>
              <w:t xml:space="preserve"> Jun</w:t>
            </w:r>
          </w:p>
        </w:tc>
        <w:tc>
          <w:tcPr>
            <w:tcW w:w="7346" w:type="dxa"/>
            <w:shd w:val="clear" w:color="auto" w:fill="auto"/>
            <w:vAlign w:val="center"/>
          </w:tcPr>
          <w:p w14:paraId="5205AE6C" w14:textId="7CD62716" w:rsidR="00F6284F" w:rsidRPr="00130E27" w:rsidRDefault="007457AD" w:rsidP="00F6284F">
            <w:pPr>
              <w:spacing w:after="0" w:line="240" w:lineRule="auto"/>
              <w:rPr>
                <w:rFonts w:eastAsia="Times New Roman" w:cstheme="minorHAnsi"/>
                <w:color w:val="4472C4" w:themeColor="accent1"/>
                <w:kern w:val="0"/>
                <w:sz w:val="28"/>
                <w:szCs w:val="28"/>
                <w:highlight w:val="yellow"/>
                <w:lang w:eastAsia="en-NZ"/>
                <w14:ligatures w14:val="none"/>
              </w:rPr>
            </w:pPr>
            <w:r w:rsidRPr="00130E27">
              <w:rPr>
                <w:rFonts w:eastAsia="Times New Roman" w:cstheme="minorHAnsi"/>
                <w:color w:val="262626" w:themeColor="text1" w:themeTint="D9"/>
                <w:kern w:val="0"/>
                <w:sz w:val="28"/>
                <w:szCs w:val="28"/>
                <w:lang w:eastAsia="en-NZ"/>
                <w14:ligatures w14:val="none"/>
              </w:rPr>
              <w:t>Crafting powerful opinion pieces</w:t>
            </w:r>
          </w:p>
        </w:tc>
        <w:tc>
          <w:tcPr>
            <w:tcW w:w="1726" w:type="dxa"/>
            <w:shd w:val="clear" w:color="auto" w:fill="auto"/>
            <w:vAlign w:val="center"/>
          </w:tcPr>
          <w:p w14:paraId="5A54BD30" w14:textId="3E3213FF" w:rsidR="00F6284F" w:rsidRPr="00130E27" w:rsidRDefault="00F6284F" w:rsidP="00F6284F">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SC7</w:t>
            </w:r>
          </w:p>
        </w:tc>
        <w:tc>
          <w:tcPr>
            <w:tcW w:w="2194" w:type="dxa"/>
            <w:shd w:val="clear" w:color="auto" w:fill="auto"/>
            <w:vAlign w:val="center"/>
          </w:tcPr>
          <w:p w14:paraId="3F0155C7" w14:textId="2235EEC9" w:rsidR="00F6284F" w:rsidRPr="00130E27" w:rsidRDefault="00F6284F" w:rsidP="00F6284F">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7342A7" w:rsidRPr="003137C0" w14:paraId="091417D6" w14:textId="77777777" w:rsidTr="00507368">
        <w:trPr>
          <w:jc w:val="center"/>
        </w:trPr>
        <w:tc>
          <w:tcPr>
            <w:tcW w:w="1413" w:type="dxa"/>
            <w:vMerge/>
            <w:shd w:val="clear" w:color="auto" w:fill="auto"/>
            <w:vAlign w:val="center"/>
          </w:tcPr>
          <w:p w14:paraId="586AA536" w14:textId="77777777" w:rsidR="007342A7" w:rsidRPr="00130E27" w:rsidRDefault="007342A7" w:rsidP="007342A7">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auto"/>
            <w:vAlign w:val="center"/>
          </w:tcPr>
          <w:p w14:paraId="0E50FB8F" w14:textId="59E170A5" w:rsidR="007342A7" w:rsidRPr="00130E27" w:rsidRDefault="007342A7" w:rsidP="007342A7">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04</w:t>
            </w:r>
            <w:r>
              <w:rPr>
                <w:rFonts w:eastAsia="Times New Roman" w:cstheme="minorHAnsi"/>
                <w:kern w:val="0"/>
                <w:sz w:val="28"/>
                <w:szCs w:val="28"/>
                <w:lang w:eastAsia="en-NZ"/>
                <w14:ligatures w14:val="none"/>
              </w:rPr>
              <w:t xml:space="preserve"> Jun</w:t>
            </w:r>
          </w:p>
        </w:tc>
        <w:tc>
          <w:tcPr>
            <w:tcW w:w="7346" w:type="dxa"/>
            <w:shd w:val="clear" w:color="auto" w:fill="auto"/>
          </w:tcPr>
          <w:p w14:paraId="53CF68DA" w14:textId="4372BBA1" w:rsidR="007342A7" w:rsidRPr="00130E27" w:rsidRDefault="004D4F13" w:rsidP="007342A7">
            <w:pPr>
              <w:spacing w:after="0" w:line="240" w:lineRule="auto"/>
              <w:rPr>
                <w:rFonts w:eastAsia="Times New Roman" w:cstheme="minorHAnsi"/>
                <w:color w:val="262626" w:themeColor="text1" w:themeTint="D9"/>
                <w:kern w:val="0"/>
                <w:sz w:val="28"/>
                <w:szCs w:val="28"/>
                <w:lang w:eastAsia="en-NZ"/>
                <w14:ligatures w14:val="none"/>
              </w:rPr>
            </w:pPr>
            <w:r>
              <w:rPr>
                <w:rFonts w:eastAsia="Times New Roman" w:cstheme="minorHAnsi"/>
                <w:color w:val="262626" w:themeColor="text1" w:themeTint="D9"/>
                <w:kern w:val="0"/>
                <w:sz w:val="28"/>
                <w:szCs w:val="28"/>
                <w:lang w:eastAsia="en-NZ"/>
                <w14:ligatures w14:val="none"/>
              </w:rPr>
              <w:t>Research showcase (Sustainability team)</w:t>
            </w:r>
          </w:p>
        </w:tc>
        <w:tc>
          <w:tcPr>
            <w:tcW w:w="1726" w:type="dxa"/>
            <w:shd w:val="clear" w:color="auto" w:fill="auto"/>
          </w:tcPr>
          <w:p w14:paraId="56F64D1C" w14:textId="65586813" w:rsidR="007342A7" w:rsidRPr="00130E27" w:rsidRDefault="007342A7" w:rsidP="007342A7">
            <w:pPr>
              <w:spacing w:after="0" w:line="240" w:lineRule="auto"/>
              <w:jc w:val="center"/>
              <w:rPr>
                <w:rFonts w:eastAsia="Times New Roman" w:cstheme="minorHAnsi"/>
                <w:color w:val="262626" w:themeColor="text1" w:themeTint="D9"/>
                <w:kern w:val="0"/>
                <w:sz w:val="28"/>
                <w:szCs w:val="28"/>
                <w:lang w:eastAsia="en-NZ"/>
                <w14:ligatures w14:val="none"/>
              </w:rPr>
            </w:pPr>
            <w:r w:rsidRPr="007342A7">
              <w:rPr>
                <w:rFonts w:eastAsia="Times New Roman" w:cstheme="minorHAnsi"/>
                <w:color w:val="262626" w:themeColor="text1" w:themeTint="D9"/>
                <w:kern w:val="0"/>
                <w:sz w:val="28"/>
                <w:szCs w:val="28"/>
                <w:lang w:eastAsia="en-NZ"/>
                <w14:ligatures w14:val="none"/>
              </w:rPr>
              <w:t>SC7</w:t>
            </w:r>
          </w:p>
        </w:tc>
        <w:tc>
          <w:tcPr>
            <w:tcW w:w="2194" w:type="dxa"/>
            <w:shd w:val="clear" w:color="auto" w:fill="auto"/>
          </w:tcPr>
          <w:p w14:paraId="41F903D0" w14:textId="0B9D80AA" w:rsidR="007342A7" w:rsidRPr="00130E27" w:rsidRDefault="007342A7" w:rsidP="007342A7">
            <w:pPr>
              <w:spacing w:after="0" w:line="240" w:lineRule="auto"/>
              <w:jc w:val="center"/>
              <w:rPr>
                <w:rFonts w:eastAsia="Times New Roman" w:cstheme="minorHAnsi"/>
                <w:color w:val="262626" w:themeColor="text1" w:themeTint="D9"/>
                <w:kern w:val="0"/>
                <w:sz w:val="28"/>
                <w:szCs w:val="28"/>
                <w:lang w:eastAsia="en-NZ"/>
                <w14:ligatures w14:val="none"/>
              </w:rPr>
            </w:pPr>
            <w:r w:rsidRPr="007342A7">
              <w:rPr>
                <w:rFonts w:eastAsia="Times New Roman" w:cstheme="minorHAnsi"/>
                <w:color w:val="262626" w:themeColor="text1" w:themeTint="D9"/>
                <w:kern w:val="0"/>
                <w:sz w:val="28"/>
                <w:szCs w:val="28"/>
                <w:lang w:eastAsia="en-NZ"/>
                <w14:ligatures w14:val="none"/>
              </w:rPr>
              <w:t>Student workshop</w:t>
            </w:r>
          </w:p>
        </w:tc>
      </w:tr>
      <w:tr w:rsidR="00F6284F" w:rsidRPr="003137C0" w14:paraId="22CE4CE1" w14:textId="77777777" w:rsidTr="00BB5F31">
        <w:trPr>
          <w:jc w:val="center"/>
        </w:trPr>
        <w:tc>
          <w:tcPr>
            <w:tcW w:w="1413" w:type="dxa"/>
            <w:vMerge/>
            <w:shd w:val="clear" w:color="auto" w:fill="auto"/>
            <w:vAlign w:val="center"/>
          </w:tcPr>
          <w:p w14:paraId="49C2F55F" w14:textId="77777777" w:rsidR="00F6284F" w:rsidRPr="00130E27" w:rsidRDefault="00F6284F" w:rsidP="00F6284F">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auto"/>
            <w:vAlign w:val="center"/>
          </w:tcPr>
          <w:p w14:paraId="574C2789" w14:textId="7299CB3E"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09</w:t>
            </w:r>
            <w:r w:rsidR="005471B3">
              <w:rPr>
                <w:rFonts w:eastAsia="Times New Roman" w:cstheme="minorHAnsi"/>
                <w:kern w:val="0"/>
                <w:sz w:val="28"/>
                <w:szCs w:val="28"/>
                <w:lang w:eastAsia="en-NZ"/>
                <w14:ligatures w14:val="none"/>
              </w:rPr>
              <w:t xml:space="preserve"> Jun</w:t>
            </w:r>
          </w:p>
        </w:tc>
        <w:tc>
          <w:tcPr>
            <w:tcW w:w="7346" w:type="dxa"/>
            <w:shd w:val="clear" w:color="auto" w:fill="auto"/>
            <w:vAlign w:val="center"/>
          </w:tcPr>
          <w:p w14:paraId="1F958D6F" w14:textId="471394B1" w:rsidR="00F6284F" w:rsidRPr="00130E27" w:rsidRDefault="00C25A26" w:rsidP="00F6284F">
            <w:pPr>
              <w:spacing w:after="0" w:line="240" w:lineRule="auto"/>
              <w:rPr>
                <w:rFonts w:eastAsia="Times New Roman" w:cstheme="minorHAnsi"/>
                <w:color w:val="4472C4" w:themeColor="accent1"/>
                <w:kern w:val="0"/>
                <w:sz w:val="28"/>
                <w:szCs w:val="28"/>
                <w:highlight w:val="yellow"/>
                <w:lang w:eastAsia="en-NZ"/>
                <w14:ligatures w14:val="none"/>
              </w:rPr>
            </w:pPr>
            <w:r w:rsidRPr="00130E27">
              <w:rPr>
                <w:rFonts w:eastAsia="Times New Roman" w:cstheme="minorHAnsi"/>
                <w:color w:val="262626" w:themeColor="text1" w:themeTint="D9"/>
                <w:kern w:val="0"/>
                <w:sz w:val="28"/>
                <w:szCs w:val="28"/>
                <w:lang w:eastAsia="en-NZ"/>
                <w14:ligatures w14:val="none"/>
              </w:rPr>
              <w:t>AI and Academic Integrity: Guidelines for responsible use</w:t>
            </w:r>
          </w:p>
        </w:tc>
        <w:tc>
          <w:tcPr>
            <w:tcW w:w="1726" w:type="dxa"/>
            <w:shd w:val="clear" w:color="auto" w:fill="auto"/>
            <w:vAlign w:val="center"/>
          </w:tcPr>
          <w:p w14:paraId="475FACEC" w14:textId="33C5AE12" w:rsidR="00F6284F" w:rsidRPr="00130E27" w:rsidRDefault="00F6284F" w:rsidP="00F6284F">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SC4</w:t>
            </w:r>
          </w:p>
        </w:tc>
        <w:tc>
          <w:tcPr>
            <w:tcW w:w="2194" w:type="dxa"/>
            <w:shd w:val="clear" w:color="auto" w:fill="auto"/>
            <w:vAlign w:val="center"/>
          </w:tcPr>
          <w:p w14:paraId="3C79AC28" w14:textId="0BD2B7D4" w:rsidR="00F6284F" w:rsidRPr="00130E27" w:rsidRDefault="00F6284F" w:rsidP="00F6284F">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C2361C" w:rsidRPr="003137C0" w14:paraId="14799D76" w14:textId="77777777" w:rsidTr="00BB5F31">
        <w:trPr>
          <w:trHeight w:val="70"/>
          <w:jc w:val="center"/>
        </w:trPr>
        <w:tc>
          <w:tcPr>
            <w:tcW w:w="1413" w:type="dxa"/>
            <w:vMerge/>
            <w:shd w:val="clear" w:color="auto" w:fill="auto"/>
            <w:vAlign w:val="center"/>
          </w:tcPr>
          <w:p w14:paraId="77CF6B7A" w14:textId="77777777" w:rsidR="00C2361C" w:rsidRPr="00130E27" w:rsidRDefault="00C2361C" w:rsidP="00F6284F">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auto"/>
            <w:vAlign w:val="center"/>
          </w:tcPr>
          <w:p w14:paraId="6B5B201A" w14:textId="4D8DC4AD" w:rsidR="00C2361C" w:rsidRPr="00130E27" w:rsidRDefault="00C2361C"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16</w:t>
            </w:r>
            <w:r w:rsidR="005471B3">
              <w:rPr>
                <w:rFonts w:eastAsia="Times New Roman" w:cstheme="minorHAnsi"/>
                <w:kern w:val="0"/>
                <w:sz w:val="28"/>
                <w:szCs w:val="28"/>
                <w:lang w:eastAsia="en-NZ"/>
                <w14:ligatures w14:val="none"/>
              </w:rPr>
              <w:t xml:space="preserve"> Jun</w:t>
            </w:r>
          </w:p>
        </w:tc>
        <w:tc>
          <w:tcPr>
            <w:tcW w:w="7346" w:type="dxa"/>
            <w:shd w:val="clear" w:color="auto" w:fill="auto"/>
            <w:vAlign w:val="center"/>
          </w:tcPr>
          <w:p w14:paraId="21EB7E28" w14:textId="53BB1BB2" w:rsidR="00C2361C" w:rsidRPr="00130E27" w:rsidRDefault="00C2361C" w:rsidP="00F6284F">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Crafting winning ethics applications</w:t>
            </w:r>
          </w:p>
        </w:tc>
        <w:tc>
          <w:tcPr>
            <w:tcW w:w="1726" w:type="dxa"/>
            <w:shd w:val="clear" w:color="auto" w:fill="auto"/>
            <w:vAlign w:val="center"/>
          </w:tcPr>
          <w:p w14:paraId="62538FFB" w14:textId="4C226BFB" w:rsidR="00C2361C" w:rsidRPr="00130E27" w:rsidRDefault="00C2361C"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SC4</w:t>
            </w:r>
          </w:p>
        </w:tc>
        <w:tc>
          <w:tcPr>
            <w:tcW w:w="2194" w:type="dxa"/>
            <w:shd w:val="clear" w:color="auto" w:fill="auto"/>
            <w:vAlign w:val="center"/>
          </w:tcPr>
          <w:p w14:paraId="3AC78D04" w14:textId="5F9560BC" w:rsidR="00C2361C" w:rsidRPr="00130E27" w:rsidRDefault="00C2361C" w:rsidP="00F6284F">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6284F" w:rsidRPr="003137C0" w14:paraId="195581F4" w14:textId="77777777" w:rsidTr="00BB5F31">
        <w:trPr>
          <w:jc w:val="center"/>
        </w:trPr>
        <w:tc>
          <w:tcPr>
            <w:tcW w:w="1413" w:type="dxa"/>
            <w:vMerge/>
            <w:shd w:val="clear" w:color="auto" w:fill="auto"/>
            <w:vAlign w:val="center"/>
            <w:hideMark/>
          </w:tcPr>
          <w:p w14:paraId="7A6A6014" w14:textId="77777777" w:rsidR="00F6284F" w:rsidRPr="00130E27" w:rsidRDefault="00F6284F" w:rsidP="00F6284F">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auto"/>
            <w:vAlign w:val="center"/>
          </w:tcPr>
          <w:p w14:paraId="5DF4C77D" w14:textId="03D4395D" w:rsidR="00F6284F" w:rsidRPr="00130E27" w:rsidRDefault="00F6284F" w:rsidP="00F6284F">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23</w:t>
            </w:r>
            <w:r w:rsidR="00220E4D">
              <w:rPr>
                <w:rFonts w:eastAsia="Times New Roman" w:cstheme="minorHAnsi"/>
                <w:kern w:val="0"/>
                <w:sz w:val="28"/>
                <w:szCs w:val="28"/>
                <w:lang w:eastAsia="en-NZ"/>
                <w14:ligatures w14:val="none"/>
              </w:rPr>
              <w:t>-</w:t>
            </w:r>
            <w:r w:rsidRPr="00130E27">
              <w:rPr>
                <w:rFonts w:eastAsia="Times New Roman" w:cstheme="minorHAnsi"/>
                <w:kern w:val="0"/>
                <w:sz w:val="28"/>
                <w:szCs w:val="28"/>
                <w:lang w:eastAsia="en-NZ"/>
                <w14:ligatures w14:val="none"/>
              </w:rPr>
              <w:t>25</w:t>
            </w:r>
            <w:r w:rsidR="00220E4D">
              <w:rPr>
                <w:rFonts w:eastAsia="Times New Roman" w:cstheme="minorHAnsi"/>
                <w:kern w:val="0"/>
                <w:sz w:val="28"/>
                <w:szCs w:val="28"/>
                <w:lang w:eastAsia="en-NZ"/>
                <w14:ligatures w14:val="none"/>
              </w:rPr>
              <w:t xml:space="preserve"> Jun</w:t>
            </w:r>
          </w:p>
        </w:tc>
        <w:tc>
          <w:tcPr>
            <w:tcW w:w="7346" w:type="dxa"/>
            <w:shd w:val="clear" w:color="auto" w:fill="auto"/>
            <w:vAlign w:val="center"/>
          </w:tcPr>
          <w:p w14:paraId="1295F9BA" w14:textId="35089EF8" w:rsidR="00F6284F" w:rsidRPr="00130E27" w:rsidRDefault="00F6284F" w:rsidP="00F6284F">
            <w:pPr>
              <w:spacing w:after="0" w:line="240" w:lineRule="auto"/>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Come write with us: Three-day writing bootcamp</w:t>
            </w:r>
          </w:p>
        </w:tc>
        <w:tc>
          <w:tcPr>
            <w:tcW w:w="1726" w:type="dxa"/>
            <w:shd w:val="clear" w:color="auto" w:fill="auto"/>
            <w:vAlign w:val="center"/>
          </w:tcPr>
          <w:p w14:paraId="554F50B9" w14:textId="46E2396A" w:rsidR="00F6284F" w:rsidRPr="00130E27" w:rsidRDefault="00F6284F" w:rsidP="00F6284F">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SC5</w:t>
            </w:r>
          </w:p>
        </w:tc>
        <w:tc>
          <w:tcPr>
            <w:tcW w:w="2194" w:type="dxa"/>
            <w:shd w:val="clear" w:color="auto" w:fill="auto"/>
            <w:vAlign w:val="center"/>
          </w:tcPr>
          <w:p w14:paraId="1E9A1CF4" w14:textId="6DC116FF" w:rsidR="00F6284F" w:rsidRPr="00130E27" w:rsidRDefault="00F6284F" w:rsidP="00F6284F">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Bootcamp</w:t>
            </w:r>
          </w:p>
        </w:tc>
      </w:tr>
      <w:tr w:rsidR="003F69F1" w:rsidRPr="003137C0" w14:paraId="733DEDB9" w14:textId="77777777" w:rsidTr="00BB5F31">
        <w:trPr>
          <w:jc w:val="center"/>
        </w:trPr>
        <w:tc>
          <w:tcPr>
            <w:tcW w:w="1413" w:type="dxa"/>
            <w:vMerge w:val="restart"/>
            <w:shd w:val="clear" w:color="auto" w:fill="FFFFFF"/>
            <w:vAlign w:val="center"/>
          </w:tcPr>
          <w:p w14:paraId="7B5E3B81" w14:textId="4170F205" w:rsidR="003F69F1" w:rsidRPr="00130E27" w:rsidRDefault="003F69F1" w:rsidP="003F69F1">
            <w:pPr>
              <w:spacing w:after="0" w:line="240" w:lineRule="auto"/>
              <w:jc w:val="center"/>
              <w:rPr>
                <w:rFonts w:eastAsia="Times New Roman" w:cstheme="minorHAnsi"/>
                <w:b/>
                <w:bCs/>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July</w:t>
            </w:r>
          </w:p>
        </w:tc>
        <w:tc>
          <w:tcPr>
            <w:tcW w:w="1276" w:type="dxa"/>
            <w:shd w:val="clear" w:color="auto" w:fill="FFFFFF"/>
            <w:vAlign w:val="center"/>
          </w:tcPr>
          <w:p w14:paraId="691DCAF5" w14:textId="6A9C8B1D" w:rsidR="003F69F1" w:rsidRPr="00130E27" w:rsidRDefault="003F69F1" w:rsidP="003F69F1">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07</w:t>
            </w:r>
            <w:r w:rsidR="00220E4D">
              <w:rPr>
                <w:rFonts w:eastAsia="Times New Roman" w:cstheme="minorHAnsi"/>
                <w:kern w:val="0"/>
                <w:sz w:val="28"/>
                <w:szCs w:val="28"/>
                <w:lang w:eastAsia="en-NZ"/>
                <w14:ligatures w14:val="none"/>
              </w:rPr>
              <w:t xml:space="preserve"> Jul</w:t>
            </w:r>
          </w:p>
        </w:tc>
        <w:tc>
          <w:tcPr>
            <w:tcW w:w="7346" w:type="dxa"/>
            <w:shd w:val="clear" w:color="auto" w:fill="FFFFFF"/>
            <w:vAlign w:val="center"/>
          </w:tcPr>
          <w:p w14:paraId="37000607" w14:textId="1686CE90" w:rsidR="003F69F1" w:rsidRPr="00130E27" w:rsidRDefault="003F69F1" w:rsidP="003F69F1">
            <w:pPr>
              <w:spacing w:after="0" w:line="240" w:lineRule="auto"/>
              <w:rPr>
                <w:rFonts w:eastAsia="Times New Roman" w:cstheme="minorHAnsi"/>
                <w:b/>
                <w:bCs/>
                <w:color w:val="00B05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Supervision success: Mastering meetings, feedback, and conflict management</w:t>
            </w:r>
          </w:p>
        </w:tc>
        <w:tc>
          <w:tcPr>
            <w:tcW w:w="1726" w:type="dxa"/>
            <w:shd w:val="clear" w:color="auto" w:fill="FFFFFF"/>
            <w:vAlign w:val="center"/>
          </w:tcPr>
          <w:p w14:paraId="16F3F909" w14:textId="4CAF1A31" w:rsidR="003F69F1" w:rsidRPr="00130E27" w:rsidRDefault="003F69F1" w:rsidP="003F69F1">
            <w:pPr>
              <w:spacing w:after="0" w:line="240" w:lineRule="auto"/>
              <w:jc w:val="center"/>
              <w:rPr>
                <w:rFonts w:eastAsia="Times New Roman" w:cstheme="minorHAnsi"/>
                <w:b/>
                <w:bCs/>
                <w:color w:val="00B05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SC8, SC10</w:t>
            </w:r>
          </w:p>
        </w:tc>
        <w:tc>
          <w:tcPr>
            <w:tcW w:w="2194" w:type="dxa"/>
            <w:shd w:val="clear" w:color="auto" w:fill="FFFFFF"/>
            <w:vAlign w:val="center"/>
          </w:tcPr>
          <w:p w14:paraId="28A5947B" w14:textId="748CA642" w:rsidR="003F69F1" w:rsidRPr="00130E27" w:rsidRDefault="003F69F1" w:rsidP="003F69F1">
            <w:pPr>
              <w:spacing w:after="0" w:line="240" w:lineRule="auto"/>
              <w:jc w:val="center"/>
              <w:rPr>
                <w:rFonts w:eastAsia="Times New Roman" w:cstheme="minorHAnsi"/>
                <w:b/>
                <w:bCs/>
                <w:color w:val="00B05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3F69F1" w:rsidRPr="003137C0" w14:paraId="7D6AF30F" w14:textId="77777777" w:rsidTr="00BB5F31">
        <w:trPr>
          <w:jc w:val="center"/>
        </w:trPr>
        <w:tc>
          <w:tcPr>
            <w:tcW w:w="1413" w:type="dxa"/>
            <w:vMerge/>
            <w:shd w:val="clear" w:color="auto" w:fill="FFFFFF"/>
            <w:vAlign w:val="center"/>
          </w:tcPr>
          <w:p w14:paraId="326C9477" w14:textId="69F944BC" w:rsidR="003F69F1" w:rsidRPr="00130E27" w:rsidRDefault="003F69F1" w:rsidP="003F69F1">
            <w:pPr>
              <w:spacing w:after="0" w:line="240" w:lineRule="auto"/>
              <w:jc w:val="center"/>
              <w:rPr>
                <w:rFonts w:eastAsia="Times New Roman" w:cstheme="minorHAnsi"/>
                <w:b/>
                <w:bCs/>
                <w:color w:val="262626" w:themeColor="text1" w:themeTint="D9"/>
                <w:kern w:val="0"/>
                <w:sz w:val="28"/>
                <w:szCs w:val="28"/>
                <w:lang w:eastAsia="en-NZ"/>
                <w14:ligatures w14:val="none"/>
              </w:rPr>
            </w:pPr>
          </w:p>
        </w:tc>
        <w:tc>
          <w:tcPr>
            <w:tcW w:w="1276" w:type="dxa"/>
            <w:shd w:val="clear" w:color="auto" w:fill="FFFFFF"/>
            <w:vAlign w:val="center"/>
          </w:tcPr>
          <w:p w14:paraId="0A885CAB" w14:textId="30EF430D" w:rsidR="003F69F1" w:rsidRPr="00130E27" w:rsidRDefault="003F69F1" w:rsidP="003F69F1">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14</w:t>
            </w:r>
            <w:r w:rsidR="00220E4D">
              <w:rPr>
                <w:rFonts w:eastAsia="Times New Roman" w:cstheme="minorHAnsi"/>
                <w:kern w:val="0"/>
                <w:sz w:val="28"/>
                <w:szCs w:val="28"/>
                <w:lang w:eastAsia="en-NZ"/>
                <w14:ligatures w14:val="none"/>
              </w:rPr>
              <w:t xml:space="preserve"> Jul</w:t>
            </w:r>
          </w:p>
        </w:tc>
        <w:tc>
          <w:tcPr>
            <w:tcW w:w="7346" w:type="dxa"/>
            <w:shd w:val="clear" w:color="auto" w:fill="FFFFFF"/>
            <w:vAlign w:val="center"/>
          </w:tcPr>
          <w:p w14:paraId="2C57D1E2" w14:textId="3AFC5AB0" w:rsidR="003F69F1" w:rsidRPr="00837457" w:rsidRDefault="003F69F1" w:rsidP="003F69F1">
            <w:pPr>
              <w:spacing w:after="0" w:line="240" w:lineRule="auto"/>
              <w:rPr>
                <w:rFonts w:eastAsia="Times New Roman" w:cstheme="minorHAnsi"/>
                <w:color w:val="7030A0"/>
                <w:kern w:val="0"/>
                <w:sz w:val="28"/>
                <w:szCs w:val="28"/>
                <w:lang w:eastAsia="en-NZ"/>
                <w14:ligatures w14:val="none"/>
              </w:rPr>
            </w:pPr>
            <w:r w:rsidRPr="00837457">
              <w:rPr>
                <w:rFonts w:eastAsia="Times New Roman" w:cstheme="minorHAnsi"/>
                <w:color w:val="7030A0"/>
                <w:kern w:val="0"/>
                <w:sz w:val="28"/>
                <w:szCs w:val="28"/>
                <w:lang w:eastAsia="en-NZ"/>
                <w14:ligatures w14:val="none"/>
              </w:rPr>
              <w:t>Getting off to the best start</w:t>
            </w:r>
          </w:p>
        </w:tc>
        <w:tc>
          <w:tcPr>
            <w:tcW w:w="1726" w:type="dxa"/>
            <w:shd w:val="clear" w:color="auto" w:fill="FFFFFF"/>
            <w:vAlign w:val="center"/>
          </w:tcPr>
          <w:p w14:paraId="401B82B3" w14:textId="0C72A5A1" w:rsidR="003F69F1" w:rsidRPr="00837457" w:rsidRDefault="003F69F1" w:rsidP="003F69F1">
            <w:pPr>
              <w:spacing w:after="0" w:line="240" w:lineRule="auto"/>
              <w:jc w:val="center"/>
              <w:rPr>
                <w:rFonts w:eastAsia="Times New Roman" w:cstheme="minorHAnsi"/>
                <w:color w:val="7030A0"/>
                <w:kern w:val="0"/>
                <w:sz w:val="28"/>
                <w:szCs w:val="28"/>
                <w:lang w:eastAsia="en-NZ"/>
                <w14:ligatures w14:val="none"/>
              </w:rPr>
            </w:pPr>
            <w:r w:rsidRPr="00837457">
              <w:rPr>
                <w:rFonts w:eastAsia="Times New Roman" w:cstheme="minorHAnsi"/>
                <w:color w:val="7030A0"/>
                <w:kern w:val="0"/>
                <w:sz w:val="28"/>
                <w:szCs w:val="28"/>
                <w:lang w:eastAsia="en-NZ"/>
                <w14:ligatures w14:val="none"/>
              </w:rPr>
              <w:t>SC8</w:t>
            </w:r>
          </w:p>
        </w:tc>
        <w:tc>
          <w:tcPr>
            <w:tcW w:w="2194" w:type="dxa"/>
            <w:shd w:val="clear" w:color="auto" w:fill="FFFFFF"/>
            <w:vAlign w:val="center"/>
          </w:tcPr>
          <w:p w14:paraId="7A71DE52" w14:textId="727717E2" w:rsidR="003F69F1" w:rsidRPr="00837457" w:rsidRDefault="003F69F1" w:rsidP="003F69F1">
            <w:pPr>
              <w:spacing w:after="0" w:line="240" w:lineRule="auto"/>
              <w:jc w:val="center"/>
              <w:rPr>
                <w:rFonts w:eastAsia="Times New Roman" w:cstheme="minorHAnsi"/>
                <w:color w:val="7030A0"/>
                <w:kern w:val="0"/>
                <w:sz w:val="28"/>
                <w:szCs w:val="28"/>
                <w:lang w:eastAsia="en-NZ"/>
                <w14:ligatures w14:val="none"/>
              </w:rPr>
            </w:pPr>
            <w:r w:rsidRPr="00837457">
              <w:rPr>
                <w:rFonts w:eastAsia="Times New Roman" w:cstheme="minorHAnsi"/>
                <w:color w:val="7030A0"/>
                <w:kern w:val="0"/>
                <w:sz w:val="28"/>
                <w:szCs w:val="28"/>
                <w:lang w:eastAsia="en-NZ"/>
                <w14:ligatures w14:val="none"/>
              </w:rPr>
              <w:t>Doctoral Induction</w:t>
            </w:r>
          </w:p>
        </w:tc>
      </w:tr>
      <w:tr w:rsidR="003F69F1" w:rsidRPr="003137C0" w14:paraId="4C5C2F70" w14:textId="77777777" w:rsidTr="00BB5F31">
        <w:trPr>
          <w:jc w:val="center"/>
        </w:trPr>
        <w:tc>
          <w:tcPr>
            <w:tcW w:w="1413" w:type="dxa"/>
            <w:vMerge/>
            <w:shd w:val="clear" w:color="auto" w:fill="FFFFFF"/>
            <w:vAlign w:val="center"/>
          </w:tcPr>
          <w:p w14:paraId="5C0E31A8"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2793F48A" w14:textId="631987B0" w:rsidR="003F69F1" w:rsidRPr="00130E27" w:rsidRDefault="003F69F1" w:rsidP="003F69F1">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16</w:t>
            </w:r>
            <w:r w:rsidR="00220E4D">
              <w:rPr>
                <w:rFonts w:eastAsia="Times New Roman" w:cstheme="minorHAnsi"/>
                <w:kern w:val="0"/>
                <w:sz w:val="28"/>
                <w:szCs w:val="28"/>
                <w:lang w:eastAsia="en-NZ"/>
                <w14:ligatures w14:val="none"/>
              </w:rPr>
              <w:t xml:space="preserve"> Jul</w:t>
            </w:r>
          </w:p>
        </w:tc>
        <w:tc>
          <w:tcPr>
            <w:tcW w:w="7346" w:type="dxa"/>
            <w:shd w:val="clear" w:color="auto" w:fill="FFFFFF"/>
            <w:vAlign w:val="center"/>
          </w:tcPr>
          <w:p w14:paraId="72192B4B" w14:textId="64ABF5CA" w:rsidR="003F69F1" w:rsidRPr="0083745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The lifecycle of the PhD</w:t>
            </w:r>
          </w:p>
        </w:tc>
        <w:tc>
          <w:tcPr>
            <w:tcW w:w="1726" w:type="dxa"/>
            <w:shd w:val="clear" w:color="auto" w:fill="FFFFFF"/>
            <w:vAlign w:val="center"/>
          </w:tcPr>
          <w:p w14:paraId="23D321E8" w14:textId="2ACAD60B" w:rsidR="003F69F1" w:rsidRPr="0083745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SC8</w:t>
            </w:r>
          </w:p>
        </w:tc>
        <w:tc>
          <w:tcPr>
            <w:tcW w:w="2194" w:type="dxa"/>
            <w:shd w:val="clear" w:color="auto" w:fill="FFFFFF"/>
            <w:vAlign w:val="center"/>
          </w:tcPr>
          <w:p w14:paraId="4A9EE24B" w14:textId="17F5BEA7" w:rsidR="003F69F1" w:rsidRPr="0083745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Student workshop</w:t>
            </w:r>
          </w:p>
        </w:tc>
      </w:tr>
      <w:tr w:rsidR="003F69F1" w:rsidRPr="003137C0" w14:paraId="528BFEF2" w14:textId="77777777" w:rsidTr="00BB5F31">
        <w:trPr>
          <w:trHeight w:val="70"/>
          <w:jc w:val="center"/>
        </w:trPr>
        <w:tc>
          <w:tcPr>
            <w:tcW w:w="1413" w:type="dxa"/>
            <w:vMerge/>
            <w:shd w:val="clear" w:color="auto" w:fill="FFFFFF"/>
            <w:vAlign w:val="center"/>
            <w:hideMark/>
          </w:tcPr>
          <w:p w14:paraId="3E628870"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651912EB" w14:textId="34100B70" w:rsidR="003F69F1" w:rsidRPr="00130E27" w:rsidRDefault="003F69F1" w:rsidP="003F69F1">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2</w:t>
            </w:r>
            <w:r w:rsidR="007776BE" w:rsidRPr="00130E27">
              <w:rPr>
                <w:rFonts w:eastAsia="Times New Roman" w:cstheme="minorHAnsi"/>
                <w:kern w:val="0"/>
                <w:sz w:val="28"/>
                <w:szCs w:val="28"/>
                <w:lang w:eastAsia="en-NZ"/>
                <w14:ligatures w14:val="none"/>
              </w:rPr>
              <w:t>1</w:t>
            </w:r>
            <w:r w:rsidR="00220E4D">
              <w:rPr>
                <w:rFonts w:eastAsia="Times New Roman" w:cstheme="minorHAnsi"/>
                <w:kern w:val="0"/>
                <w:sz w:val="28"/>
                <w:szCs w:val="28"/>
                <w:lang w:eastAsia="en-NZ"/>
                <w14:ligatures w14:val="none"/>
              </w:rPr>
              <w:t xml:space="preserve"> Jul</w:t>
            </w:r>
          </w:p>
        </w:tc>
        <w:tc>
          <w:tcPr>
            <w:tcW w:w="7346" w:type="dxa"/>
            <w:shd w:val="clear" w:color="auto" w:fill="FFFFFF"/>
            <w:vAlign w:val="center"/>
            <w:hideMark/>
          </w:tcPr>
          <w:p w14:paraId="0DF7A03C" w14:textId="50667425" w:rsidR="00137C7D" w:rsidRPr="00130E27" w:rsidRDefault="00137C7D" w:rsidP="003F69F1">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How to ace your Viva (Oral Defence)</w:t>
            </w:r>
          </w:p>
        </w:tc>
        <w:tc>
          <w:tcPr>
            <w:tcW w:w="1726" w:type="dxa"/>
            <w:shd w:val="clear" w:color="auto" w:fill="FFFFFF"/>
            <w:vAlign w:val="center"/>
          </w:tcPr>
          <w:p w14:paraId="21ECF393" w14:textId="1311097F" w:rsidR="00137C7D" w:rsidRPr="00130E27" w:rsidRDefault="00137C7D" w:rsidP="003F69F1">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SC7</w:t>
            </w:r>
          </w:p>
        </w:tc>
        <w:tc>
          <w:tcPr>
            <w:tcW w:w="2194" w:type="dxa"/>
            <w:shd w:val="clear" w:color="auto" w:fill="FFFFFF"/>
            <w:vAlign w:val="center"/>
          </w:tcPr>
          <w:p w14:paraId="6FCACF9F" w14:textId="62F29172" w:rsidR="00137C7D" w:rsidRPr="00130E27" w:rsidRDefault="00137C7D" w:rsidP="003F69F1">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3F69F1" w:rsidRPr="003137C0" w14:paraId="034A3562" w14:textId="77777777" w:rsidTr="00BB5F31">
        <w:trPr>
          <w:jc w:val="center"/>
        </w:trPr>
        <w:tc>
          <w:tcPr>
            <w:tcW w:w="1413" w:type="dxa"/>
            <w:vMerge/>
            <w:shd w:val="clear" w:color="auto" w:fill="FFFFFF"/>
            <w:vAlign w:val="center"/>
          </w:tcPr>
          <w:p w14:paraId="66732B89"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6B5A0254" w14:textId="2C74FE1F" w:rsidR="003F69F1" w:rsidRPr="00130E27" w:rsidRDefault="003F69F1" w:rsidP="003F69F1">
            <w:pPr>
              <w:spacing w:after="0" w:line="240" w:lineRule="auto"/>
              <w:rPr>
                <w:rFonts w:eastAsia="Times New Roman" w:cstheme="minorHAnsi"/>
                <w:kern w:val="0"/>
                <w:sz w:val="28"/>
                <w:szCs w:val="28"/>
                <w:lang w:eastAsia="en-NZ"/>
                <w14:ligatures w14:val="none"/>
              </w:rPr>
            </w:pPr>
            <w:r w:rsidRPr="00130E27">
              <w:rPr>
                <w:rFonts w:eastAsia="Times New Roman" w:cstheme="minorHAnsi"/>
                <w:kern w:val="0"/>
                <w:sz w:val="28"/>
                <w:szCs w:val="28"/>
                <w:lang w:eastAsia="en-NZ"/>
                <w14:ligatures w14:val="none"/>
              </w:rPr>
              <w:t>30</w:t>
            </w:r>
            <w:r w:rsidR="00220E4D">
              <w:rPr>
                <w:rFonts w:eastAsia="Times New Roman" w:cstheme="minorHAnsi"/>
                <w:kern w:val="0"/>
                <w:sz w:val="28"/>
                <w:szCs w:val="28"/>
                <w:lang w:eastAsia="en-NZ"/>
                <w14:ligatures w14:val="none"/>
              </w:rPr>
              <w:t xml:space="preserve"> Jul</w:t>
            </w:r>
          </w:p>
        </w:tc>
        <w:tc>
          <w:tcPr>
            <w:tcW w:w="7346" w:type="dxa"/>
            <w:shd w:val="clear" w:color="auto" w:fill="FFFFFF"/>
            <w:vAlign w:val="center"/>
          </w:tcPr>
          <w:p w14:paraId="77184F5E" w14:textId="3462945B" w:rsidR="003F69F1" w:rsidRPr="00130E27" w:rsidRDefault="003F69F1" w:rsidP="003F69F1">
            <w:pPr>
              <w:spacing w:after="0" w:line="240" w:lineRule="auto"/>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Write, munch, and connect: One-day mini writing bootcamp</w:t>
            </w:r>
          </w:p>
        </w:tc>
        <w:tc>
          <w:tcPr>
            <w:tcW w:w="1726" w:type="dxa"/>
            <w:shd w:val="clear" w:color="auto" w:fill="FFFFFF"/>
            <w:vAlign w:val="center"/>
          </w:tcPr>
          <w:p w14:paraId="7AA9B6EA" w14:textId="44E229E5" w:rsidR="003F69F1" w:rsidRPr="00130E27" w:rsidRDefault="003F69F1" w:rsidP="003F69F1">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SC5</w:t>
            </w:r>
          </w:p>
        </w:tc>
        <w:tc>
          <w:tcPr>
            <w:tcW w:w="2194" w:type="dxa"/>
            <w:shd w:val="clear" w:color="auto" w:fill="FFFFFF"/>
            <w:vAlign w:val="center"/>
          </w:tcPr>
          <w:p w14:paraId="5BDB3341" w14:textId="336E10EE" w:rsidR="003F69F1" w:rsidRPr="00130E27" w:rsidRDefault="003F69F1" w:rsidP="003F69F1">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Bootcamp</w:t>
            </w:r>
          </w:p>
        </w:tc>
      </w:tr>
      <w:tr w:rsidR="001013EB" w:rsidRPr="003137C0" w14:paraId="6AD304F4" w14:textId="77777777" w:rsidTr="00BB5F31">
        <w:trPr>
          <w:trHeight w:val="99"/>
          <w:jc w:val="center"/>
        </w:trPr>
        <w:tc>
          <w:tcPr>
            <w:tcW w:w="1413" w:type="dxa"/>
            <w:vMerge w:val="restart"/>
            <w:shd w:val="clear" w:color="auto" w:fill="E2EFD9" w:themeFill="accent6" w:themeFillTint="33"/>
            <w:vAlign w:val="center"/>
          </w:tcPr>
          <w:p w14:paraId="05A266F6" w14:textId="4776F5B7" w:rsidR="001013EB" w:rsidRPr="00130E27" w:rsidRDefault="001013EB" w:rsidP="003F69F1">
            <w:pPr>
              <w:spacing w:after="0" w:line="240" w:lineRule="auto"/>
              <w:jc w:val="center"/>
              <w:rPr>
                <w:rFonts w:eastAsia="Times New Roman" w:cstheme="minorHAnsi"/>
                <w:b/>
                <w:bCs/>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August</w:t>
            </w:r>
          </w:p>
        </w:tc>
        <w:tc>
          <w:tcPr>
            <w:tcW w:w="1276" w:type="dxa"/>
            <w:shd w:val="clear" w:color="auto" w:fill="E2EFD9" w:themeFill="accent6" w:themeFillTint="33"/>
            <w:vAlign w:val="center"/>
          </w:tcPr>
          <w:p w14:paraId="42549374" w14:textId="34219668" w:rsidR="001013EB" w:rsidRPr="00130E27" w:rsidRDefault="001013EB"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11</w:t>
            </w:r>
            <w:r w:rsidR="00220E4D">
              <w:rPr>
                <w:rFonts w:eastAsia="Times New Roman" w:cstheme="minorHAnsi"/>
                <w:color w:val="262626" w:themeColor="text1" w:themeTint="D9"/>
                <w:kern w:val="0"/>
                <w:sz w:val="28"/>
                <w:szCs w:val="28"/>
                <w:lang w:eastAsia="en-NZ"/>
                <w14:ligatures w14:val="none"/>
              </w:rPr>
              <w:t xml:space="preserve"> Aug</w:t>
            </w:r>
          </w:p>
        </w:tc>
        <w:tc>
          <w:tcPr>
            <w:tcW w:w="7346" w:type="dxa"/>
            <w:shd w:val="clear" w:color="auto" w:fill="E2EFD9" w:themeFill="accent6" w:themeFillTint="33"/>
            <w:vAlign w:val="center"/>
          </w:tcPr>
          <w:p w14:paraId="41A9A9CC" w14:textId="12E1CFEF" w:rsidR="001013EB" w:rsidRPr="00130E27" w:rsidRDefault="001013EB"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How to make a great presentation</w:t>
            </w:r>
          </w:p>
        </w:tc>
        <w:tc>
          <w:tcPr>
            <w:tcW w:w="1726" w:type="dxa"/>
            <w:shd w:val="clear" w:color="auto" w:fill="E2EFD9" w:themeFill="accent6" w:themeFillTint="33"/>
            <w:vAlign w:val="center"/>
          </w:tcPr>
          <w:p w14:paraId="24E3DD17" w14:textId="3D9F86A4" w:rsidR="001013EB" w:rsidRPr="00130E27" w:rsidRDefault="001013EB"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SC7</w:t>
            </w:r>
          </w:p>
        </w:tc>
        <w:tc>
          <w:tcPr>
            <w:tcW w:w="2194" w:type="dxa"/>
            <w:shd w:val="clear" w:color="auto" w:fill="E2EFD9" w:themeFill="accent6" w:themeFillTint="33"/>
            <w:vAlign w:val="center"/>
          </w:tcPr>
          <w:p w14:paraId="54A576FF" w14:textId="67C7A241" w:rsidR="001013EB" w:rsidRPr="00130E27" w:rsidRDefault="001013EB"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7342A7" w:rsidRPr="003137C0" w14:paraId="07C7CDF5" w14:textId="77777777" w:rsidTr="000971F1">
        <w:trPr>
          <w:jc w:val="center"/>
        </w:trPr>
        <w:tc>
          <w:tcPr>
            <w:tcW w:w="1413" w:type="dxa"/>
            <w:vMerge/>
            <w:shd w:val="clear" w:color="auto" w:fill="E2EFD9" w:themeFill="accent6" w:themeFillTint="33"/>
            <w:vAlign w:val="center"/>
          </w:tcPr>
          <w:p w14:paraId="69383DD9" w14:textId="77777777" w:rsidR="007342A7" w:rsidRPr="00130E27" w:rsidRDefault="007342A7" w:rsidP="007342A7">
            <w:pPr>
              <w:spacing w:after="0" w:line="240" w:lineRule="auto"/>
              <w:jc w:val="center"/>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2DA9A8F1" w14:textId="2E0B83C5" w:rsidR="007342A7" w:rsidRPr="00130E27" w:rsidRDefault="007342A7" w:rsidP="007342A7">
            <w:pPr>
              <w:spacing w:after="0" w:line="240" w:lineRule="auto"/>
              <w:rPr>
                <w:rFonts w:eastAsia="Times New Roman" w:cstheme="minorHAnsi"/>
                <w:color w:val="262626" w:themeColor="text1" w:themeTint="D9"/>
                <w:kern w:val="0"/>
                <w:sz w:val="28"/>
                <w:szCs w:val="28"/>
                <w:lang w:eastAsia="en-NZ"/>
                <w14:ligatures w14:val="none"/>
              </w:rPr>
            </w:pPr>
            <w:r>
              <w:rPr>
                <w:rFonts w:eastAsia="Times New Roman" w:cstheme="minorHAnsi"/>
                <w:kern w:val="0"/>
                <w:sz w:val="28"/>
                <w:szCs w:val="28"/>
                <w:lang w:eastAsia="en-NZ"/>
                <w14:ligatures w14:val="none"/>
              </w:rPr>
              <w:t>11 Aug</w:t>
            </w:r>
          </w:p>
        </w:tc>
        <w:tc>
          <w:tcPr>
            <w:tcW w:w="7346" w:type="dxa"/>
            <w:shd w:val="clear" w:color="auto" w:fill="E2EFD9" w:themeFill="accent6" w:themeFillTint="33"/>
          </w:tcPr>
          <w:p w14:paraId="60C2E9BC" w14:textId="21359F4C" w:rsidR="007342A7" w:rsidRPr="00130E27" w:rsidRDefault="004D4F13" w:rsidP="007342A7">
            <w:pPr>
              <w:spacing w:after="0" w:line="240" w:lineRule="auto"/>
              <w:rPr>
                <w:rFonts w:eastAsia="Times New Roman" w:cstheme="minorHAnsi"/>
                <w:color w:val="262626" w:themeColor="text1" w:themeTint="D9"/>
                <w:kern w:val="0"/>
                <w:sz w:val="28"/>
                <w:szCs w:val="28"/>
                <w:lang w:eastAsia="en-NZ"/>
                <w14:ligatures w14:val="none"/>
              </w:rPr>
            </w:pPr>
            <w:r>
              <w:rPr>
                <w:rFonts w:eastAsia="Times New Roman" w:cstheme="minorHAnsi"/>
                <w:color w:val="262626" w:themeColor="text1" w:themeTint="D9"/>
                <w:kern w:val="0"/>
                <w:sz w:val="28"/>
                <w:szCs w:val="28"/>
                <w:lang w:eastAsia="en-NZ"/>
                <w14:ligatures w14:val="none"/>
              </w:rPr>
              <w:t>Research showcase (Sustainability team)</w:t>
            </w:r>
          </w:p>
        </w:tc>
        <w:tc>
          <w:tcPr>
            <w:tcW w:w="1726" w:type="dxa"/>
            <w:shd w:val="clear" w:color="auto" w:fill="E2EFD9" w:themeFill="accent6" w:themeFillTint="33"/>
          </w:tcPr>
          <w:p w14:paraId="308DB660" w14:textId="2FF84A8C" w:rsidR="007342A7" w:rsidRPr="00130E27" w:rsidRDefault="007342A7" w:rsidP="007342A7">
            <w:pPr>
              <w:spacing w:after="0" w:line="240" w:lineRule="auto"/>
              <w:jc w:val="center"/>
              <w:rPr>
                <w:rFonts w:eastAsia="Times New Roman" w:cstheme="minorHAnsi"/>
                <w:color w:val="262626" w:themeColor="text1" w:themeTint="D9"/>
                <w:kern w:val="0"/>
                <w:sz w:val="28"/>
                <w:szCs w:val="28"/>
                <w:lang w:eastAsia="en-NZ"/>
                <w14:ligatures w14:val="none"/>
              </w:rPr>
            </w:pPr>
            <w:r w:rsidRPr="007342A7">
              <w:rPr>
                <w:rFonts w:eastAsia="Times New Roman" w:cstheme="minorHAnsi"/>
                <w:color w:val="262626" w:themeColor="text1" w:themeTint="D9"/>
                <w:kern w:val="0"/>
                <w:sz w:val="28"/>
                <w:szCs w:val="28"/>
                <w:lang w:eastAsia="en-NZ"/>
                <w14:ligatures w14:val="none"/>
              </w:rPr>
              <w:t>SC7</w:t>
            </w:r>
          </w:p>
        </w:tc>
        <w:tc>
          <w:tcPr>
            <w:tcW w:w="2194" w:type="dxa"/>
            <w:shd w:val="clear" w:color="auto" w:fill="E2EFD9" w:themeFill="accent6" w:themeFillTint="33"/>
          </w:tcPr>
          <w:p w14:paraId="479A5BFD" w14:textId="63509F05" w:rsidR="007342A7" w:rsidRPr="00130E27" w:rsidRDefault="007342A7" w:rsidP="007342A7">
            <w:pPr>
              <w:spacing w:after="0" w:line="240" w:lineRule="auto"/>
              <w:jc w:val="center"/>
              <w:rPr>
                <w:rFonts w:eastAsia="Times New Roman" w:cstheme="minorHAnsi"/>
                <w:color w:val="262626" w:themeColor="text1" w:themeTint="D9"/>
                <w:kern w:val="0"/>
                <w:sz w:val="28"/>
                <w:szCs w:val="28"/>
                <w:lang w:eastAsia="en-NZ"/>
                <w14:ligatures w14:val="none"/>
              </w:rPr>
            </w:pPr>
            <w:r w:rsidRPr="007342A7">
              <w:rPr>
                <w:rFonts w:eastAsia="Times New Roman" w:cstheme="minorHAnsi"/>
                <w:color w:val="262626" w:themeColor="text1" w:themeTint="D9"/>
                <w:kern w:val="0"/>
                <w:sz w:val="28"/>
                <w:szCs w:val="28"/>
                <w:lang w:eastAsia="en-NZ"/>
                <w14:ligatures w14:val="none"/>
              </w:rPr>
              <w:t>Student workshop</w:t>
            </w:r>
          </w:p>
        </w:tc>
      </w:tr>
      <w:tr w:rsidR="003F69F1" w:rsidRPr="003137C0" w14:paraId="4E42B48E" w14:textId="77777777" w:rsidTr="00BB5F31">
        <w:trPr>
          <w:jc w:val="center"/>
        </w:trPr>
        <w:tc>
          <w:tcPr>
            <w:tcW w:w="1413" w:type="dxa"/>
            <w:vMerge/>
            <w:shd w:val="clear" w:color="auto" w:fill="E2EFD9" w:themeFill="accent6" w:themeFillTint="33"/>
            <w:vAlign w:val="center"/>
            <w:hideMark/>
          </w:tcPr>
          <w:p w14:paraId="5FC0713D" w14:textId="63D0633B"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hideMark/>
          </w:tcPr>
          <w:p w14:paraId="74C51D81" w14:textId="29222584"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18</w:t>
            </w:r>
            <w:r w:rsidR="00220E4D">
              <w:rPr>
                <w:rFonts w:eastAsia="Times New Roman" w:cstheme="minorHAnsi"/>
                <w:color w:val="262626" w:themeColor="text1" w:themeTint="D9"/>
                <w:kern w:val="0"/>
                <w:sz w:val="28"/>
                <w:szCs w:val="28"/>
                <w:lang w:eastAsia="en-NZ"/>
                <w14:ligatures w14:val="none"/>
              </w:rPr>
              <w:t xml:space="preserve"> Aug</w:t>
            </w:r>
          </w:p>
        </w:tc>
        <w:tc>
          <w:tcPr>
            <w:tcW w:w="7346" w:type="dxa"/>
            <w:shd w:val="clear" w:color="auto" w:fill="E2EFD9" w:themeFill="accent6" w:themeFillTint="33"/>
            <w:vAlign w:val="center"/>
            <w:hideMark/>
          </w:tcPr>
          <w:p w14:paraId="4909D0BA"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Your thesis unlocked: Literature Review</w:t>
            </w:r>
          </w:p>
        </w:tc>
        <w:tc>
          <w:tcPr>
            <w:tcW w:w="1726" w:type="dxa"/>
            <w:shd w:val="clear" w:color="auto" w:fill="E2EFD9" w:themeFill="accent6" w:themeFillTint="33"/>
            <w:vAlign w:val="center"/>
          </w:tcPr>
          <w:p w14:paraId="206C935B" w14:textId="449FD087"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 SC6</w:t>
            </w:r>
          </w:p>
        </w:tc>
        <w:tc>
          <w:tcPr>
            <w:tcW w:w="2194" w:type="dxa"/>
            <w:shd w:val="clear" w:color="auto" w:fill="E2EFD9" w:themeFill="accent6" w:themeFillTint="33"/>
            <w:vAlign w:val="center"/>
          </w:tcPr>
          <w:p w14:paraId="18995AF2" w14:textId="6321BD6B"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3F69F1" w:rsidRPr="003137C0" w14:paraId="4B3DDA7A" w14:textId="77777777" w:rsidTr="00BB5F31">
        <w:trPr>
          <w:jc w:val="center"/>
        </w:trPr>
        <w:tc>
          <w:tcPr>
            <w:tcW w:w="1413" w:type="dxa"/>
            <w:vMerge/>
            <w:shd w:val="clear" w:color="auto" w:fill="E2EFD9" w:themeFill="accent6" w:themeFillTint="33"/>
            <w:vAlign w:val="center"/>
          </w:tcPr>
          <w:p w14:paraId="3CE699FD"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75AE4929" w14:textId="0034D4EF"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20</w:t>
            </w:r>
            <w:r w:rsidR="00220E4D">
              <w:rPr>
                <w:rFonts w:eastAsia="Times New Roman" w:cstheme="minorHAnsi"/>
                <w:color w:val="262626" w:themeColor="text1" w:themeTint="D9"/>
                <w:kern w:val="0"/>
                <w:sz w:val="28"/>
                <w:szCs w:val="28"/>
                <w:lang w:eastAsia="en-NZ"/>
                <w14:ligatures w14:val="none"/>
              </w:rPr>
              <w:t xml:space="preserve"> Aug</w:t>
            </w:r>
          </w:p>
        </w:tc>
        <w:tc>
          <w:tcPr>
            <w:tcW w:w="7346" w:type="dxa"/>
            <w:shd w:val="clear" w:color="auto" w:fill="E2EFD9" w:themeFill="accent6" w:themeFillTint="33"/>
            <w:vAlign w:val="center"/>
          </w:tcPr>
          <w:p w14:paraId="3A39AA53" w14:textId="4537B09A" w:rsidR="003F69F1" w:rsidRPr="00130E27" w:rsidRDefault="003F69F1" w:rsidP="003F69F1">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Boosting your students writing productivity</w:t>
            </w:r>
          </w:p>
        </w:tc>
        <w:tc>
          <w:tcPr>
            <w:tcW w:w="1726" w:type="dxa"/>
            <w:shd w:val="clear" w:color="auto" w:fill="E2EFD9" w:themeFill="accent6" w:themeFillTint="33"/>
            <w:vAlign w:val="center"/>
          </w:tcPr>
          <w:p w14:paraId="5147F284" w14:textId="1E025CB2" w:rsidR="003F69F1" w:rsidRPr="00130E27" w:rsidRDefault="003F69F1" w:rsidP="003F69F1">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SC5</w:t>
            </w:r>
            <w:r w:rsidR="002F078A" w:rsidRPr="00130E27">
              <w:rPr>
                <w:rFonts w:eastAsia="Times New Roman" w:cstheme="minorHAnsi"/>
                <w:color w:val="4472C4" w:themeColor="accent1"/>
                <w:kern w:val="0"/>
                <w:sz w:val="28"/>
                <w:szCs w:val="28"/>
                <w:lang w:eastAsia="en-NZ"/>
                <w14:ligatures w14:val="none"/>
              </w:rPr>
              <w:t xml:space="preserve">, </w:t>
            </w:r>
            <w:r w:rsidR="00A76BA3" w:rsidRPr="00130E27">
              <w:rPr>
                <w:rFonts w:eastAsia="Times New Roman" w:cstheme="minorHAnsi"/>
                <w:color w:val="4472C4" w:themeColor="accent1"/>
                <w:kern w:val="0"/>
                <w:sz w:val="28"/>
                <w:szCs w:val="28"/>
                <w:lang w:eastAsia="en-NZ"/>
                <w14:ligatures w14:val="none"/>
              </w:rPr>
              <w:t>SC9, SC10</w:t>
            </w:r>
          </w:p>
        </w:tc>
        <w:tc>
          <w:tcPr>
            <w:tcW w:w="2194" w:type="dxa"/>
            <w:shd w:val="clear" w:color="auto" w:fill="E2EFD9" w:themeFill="accent6" w:themeFillTint="33"/>
            <w:vAlign w:val="center"/>
          </w:tcPr>
          <w:p w14:paraId="502F8CEA" w14:textId="0FC1F435" w:rsidR="003F69F1" w:rsidRPr="00130E27" w:rsidRDefault="003F69F1" w:rsidP="003F69F1">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Supervisor session</w:t>
            </w:r>
          </w:p>
        </w:tc>
      </w:tr>
      <w:tr w:rsidR="003F69F1" w:rsidRPr="003137C0" w14:paraId="39C7AFFC" w14:textId="77777777" w:rsidTr="00BB5F31">
        <w:trPr>
          <w:jc w:val="center"/>
        </w:trPr>
        <w:tc>
          <w:tcPr>
            <w:tcW w:w="1413" w:type="dxa"/>
            <w:vMerge/>
            <w:shd w:val="clear" w:color="auto" w:fill="E2EFD9" w:themeFill="accent6" w:themeFillTint="33"/>
            <w:vAlign w:val="center"/>
            <w:hideMark/>
          </w:tcPr>
          <w:p w14:paraId="54974A81"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hideMark/>
          </w:tcPr>
          <w:p w14:paraId="4B1222C2" w14:textId="14E13BE0"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27</w:t>
            </w:r>
            <w:r w:rsidR="00220E4D">
              <w:rPr>
                <w:rFonts w:eastAsia="Times New Roman" w:cstheme="minorHAnsi"/>
                <w:color w:val="262626" w:themeColor="text1" w:themeTint="D9"/>
                <w:kern w:val="0"/>
                <w:sz w:val="28"/>
                <w:szCs w:val="28"/>
                <w:lang w:eastAsia="en-NZ"/>
                <w14:ligatures w14:val="none"/>
              </w:rPr>
              <w:t xml:space="preserve"> Aug</w:t>
            </w:r>
          </w:p>
        </w:tc>
        <w:tc>
          <w:tcPr>
            <w:tcW w:w="7346" w:type="dxa"/>
            <w:shd w:val="clear" w:color="auto" w:fill="E2EFD9" w:themeFill="accent6" w:themeFillTint="33"/>
            <w:vAlign w:val="center"/>
            <w:hideMark/>
          </w:tcPr>
          <w:p w14:paraId="11CC5BE6" w14:textId="2E16E099"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 xml:space="preserve">3MT </w:t>
            </w:r>
            <w:r w:rsidR="00BE07CE" w:rsidRPr="00130E27">
              <w:rPr>
                <w:rFonts w:eastAsia="Times New Roman" w:cstheme="minorHAnsi"/>
                <w:color w:val="262626" w:themeColor="text1" w:themeTint="D9"/>
                <w:kern w:val="0"/>
                <w:sz w:val="28"/>
                <w:szCs w:val="28"/>
                <w:lang w:eastAsia="en-NZ"/>
                <w14:ligatures w14:val="none"/>
              </w:rPr>
              <w:t>Competition f</w:t>
            </w:r>
            <w:r w:rsidRPr="00130E27">
              <w:rPr>
                <w:rFonts w:eastAsia="Times New Roman" w:cstheme="minorHAnsi"/>
                <w:color w:val="262626" w:themeColor="text1" w:themeTint="D9"/>
                <w:kern w:val="0"/>
                <w:sz w:val="28"/>
                <w:szCs w:val="28"/>
                <w:lang w:eastAsia="en-NZ"/>
                <w14:ligatures w14:val="none"/>
              </w:rPr>
              <w:t>inals</w:t>
            </w:r>
            <w:r w:rsidR="00220E4D">
              <w:rPr>
                <w:rFonts w:eastAsia="Times New Roman" w:cstheme="minorHAnsi"/>
                <w:color w:val="262626" w:themeColor="text1" w:themeTint="D9"/>
                <w:kern w:val="0"/>
                <w:sz w:val="28"/>
                <w:szCs w:val="28"/>
                <w:lang w:eastAsia="en-NZ"/>
                <w14:ligatures w14:val="none"/>
              </w:rPr>
              <w:t xml:space="preserve"> </w:t>
            </w:r>
            <w:r w:rsidR="00FD4351">
              <w:rPr>
                <w:rFonts w:eastAsia="Times New Roman" w:cstheme="minorHAnsi"/>
                <w:color w:val="262626" w:themeColor="text1" w:themeTint="D9"/>
                <w:kern w:val="0"/>
                <w:sz w:val="28"/>
                <w:szCs w:val="28"/>
                <w:lang w:eastAsia="en-NZ"/>
                <w14:ligatures w14:val="none"/>
              </w:rPr>
              <w:t>(tentative date)</w:t>
            </w:r>
          </w:p>
        </w:tc>
        <w:tc>
          <w:tcPr>
            <w:tcW w:w="1726" w:type="dxa"/>
            <w:shd w:val="clear" w:color="auto" w:fill="E2EFD9" w:themeFill="accent6" w:themeFillTint="33"/>
            <w:vAlign w:val="center"/>
          </w:tcPr>
          <w:p w14:paraId="2AA85A36" w14:textId="4118904F"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w:t>
            </w:r>
          </w:p>
        </w:tc>
        <w:tc>
          <w:tcPr>
            <w:tcW w:w="2194" w:type="dxa"/>
            <w:shd w:val="clear" w:color="auto" w:fill="E2EFD9" w:themeFill="accent6" w:themeFillTint="33"/>
            <w:vAlign w:val="center"/>
          </w:tcPr>
          <w:p w14:paraId="67EE3DDA" w14:textId="4ADE2ACC"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w:t>
            </w:r>
          </w:p>
        </w:tc>
      </w:tr>
      <w:tr w:rsidR="003F69F1" w:rsidRPr="003137C0" w14:paraId="6C877AE7" w14:textId="77777777" w:rsidTr="00BB5F31">
        <w:trPr>
          <w:jc w:val="center"/>
        </w:trPr>
        <w:tc>
          <w:tcPr>
            <w:tcW w:w="1413" w:type="dxa"/>
            <w:vMerge w:val="restart"/>
            <w:shd w:val="clear" w:color="auto" w:fill="FFFFFF"/>
            <w:vAlign w:val="center"/>
            <w:hideMark/>
          </w:tcPr>
          <w:p w14:paraId="3CB71D94" w14:textId="0F0A5744"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September</w:t>
            </w:r>
          </w:p>
        </w:tc>
        <w:tc>
          <w:tcPr>
            <w:tcW w:w="1276" w:type="dxa"/>
            <w:shd w:val="clear" w:color="auto" w:fill="FFFFFF"/>
            <w:vAlign w:val="center"/>
            <w:hideMark/>
          </w:tcPr>
          <w:p w14:paraId="57F69819" w14:textId="414C212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08</w:t>
            </w:r>
            <w:r w:rsidR="00220E4D">
              <w:rPr>
                <w:rFonts w:eastAsia="Times New Roman" w:cstheme="minorHAnsi"/>
                <w:color w:val="262626" w:themeColor="text1" w:themeTint="D9"/>
                <w:kern w:val="0"/>
                <w:sz w:val="28"/>
                <w:szCs w:val="28"/>
                <w:lang w:eastAsia="en-NZ"/>
                <w14:ligatures w14:val="none"/>
              </w:rPr>
              <w:t xml:space="preserve"> Sep</w:t>
            </w:r>
          </w:p>
        </w:tc>
        <w:tc>
          <w:tcPr>
            <w:tcW w:w="7346" w:type="dxa"/>
            <w:shd w:val="clear" w:color="auto" w:fill="FFFFFF"/>
            <w:vAlign w:val="center"/>
            <w:hideMark/>
          </w:tcPr>
          <w:p w14:paraId="2A35CF0D"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Your thesis unlocked: Methodology</w:t>
            </w:r>
          </w:p>
        </w:tc>
        <w:tc>
          <w:tcPr>
            <w:tcW w:w="1726" w:type="dxa"/>
            <w:shd w:val="clear" w:color="auto" w:fill="FFFFFF"/>
            <w:vAlign w:val="center"/>
          </w:tcPr>
          <w:p w14:paraId="1F5ED40B" w14:textId="590E0E8E"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w:t>
            </w:r>
          </w:p>
        </w:tc>
        <w:tc>
          <w:tcPr>
            <w:tcW w:w="2194" w:type="dxa"/>
            <w:shd w:val="clear" w:color="auto" w:fill="FFFFFF"/>
            <w:vAlign w:val="center"/>
          </w:tcPr>
          <w:p w14:paraId="6D54E2A3" w14:textId="4FAC484F"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3F69F1" w:rsidRPr="003137C0" w14:paraId="702A3C7E" w14:textId="77777777" w:rsidTr="00BB5F31">
        <w:trPr>
          <w:jc w:val="center"/>
        </w:trPr>
        <w:tc>
          <w:tcPr>
            <w:tcW w:w="1413" w:type="dxa"/>
            <w:vMerge/>
            <w:shd w:val="clear" w:color="auto" w:fill="FFFFFF"/>
            <w:vAlign w:val="center"/>
            <w:hideMark/>
          </w:tcPr>
          <w:p w14:paraId="3DC4AF45"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hideMark/>
          </w:tcPr>
          <w:p w14:paraId="3D84C2EF" w14:textId="7E03B31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w:t>
            </w:r>
            <w:r w:rsidR="00F134A6" w:rsidRPr="00130E27">
              <w:rPr>
                <w:rFonts w:eastAsia="Times New Roman" w:cstheme="minorHAnsi"/>
                <w:color w:val="262626" w:themeColor="text1" w:themeTint="D9"/>
                <w:kern w:val="0"/>
                <w:sz w:val="28"/>
                <w:szCs w:val="28"/>
                <w:lang w:eastAsia="en-NZ"/>
                <w14:ligatures w14:val="none"/>
              </w:rPr>
              <w:t>7</w:t>
            </w:r>
            <w:r w:rsidR="00220E4D">
              <w:rPr>
                <w:rFonts w:eastAsia="Times New Roman" w:cstheme="minorHAnsi"/>
                <w:color w:val="262626" w:themeColor="text1" w:themeTint="D9"/>
                <w:kern w:val="0"/>
                <w:sz w:val="28"/>
                <w:szCs w:val="28"/>
                <w:lang w:eastAsia="en-NZ"/>
                <w14:ligatures w14:val="none"/>
              </w:rPr>
              <w:t xml:space="preserve"> Sep</w:t>
            </w:r>
          </w:p>
        </w:tc>
        <w:tc>
          <w:tcPr>
            <w:tcW w:w="7346" w:type="dxa"/>
            <w:shd w:val="clear" w:color="auto" w:fill="FFFFFF"/>
            <w:vAlign w:val="center"/>
            <w:hideMark/>
          </w:tcPr>
          <w:p w14:paraId="29370EA3" w14:textId="59715720" w:rsidR="00F134A6" w:rsidRPr="00130E27" w:rsidRDefault="00F134A6"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Supervision success: Mastering meetings, feedback, and conflict management</w:t>
            </w:r>
          </w:p>
        </w:tc>
        <w:tc>
          <w:tcPr>
            <w:tcW w:w="1726" w:type="dxa"/>
            <w:shd w:val="clear" w:color="auto" w:fill="FFFFFF"/>
            <w:vAlign w:val="center"/>
          </w:tcPr>
          <w:p w14:paraId="77998757" w14:textId="4FE74D89" w:rsidR="00F134A6" w:rsidRPr="00130E27" w:rsidRDefault="00F134A6"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 xml:space="preserve">SC8, </w:t>
            </w:r>
            <w:r w:rsidR="00C2255E" w:rsidRPr="00130E27">
              <w:rPr>
                <w:rFonts w:eastAsia="Times New Roman" w:cstheme="minorHAnsi"/>
                <w:color w:val="4472C4" w:themeColor="accent1"/>
                <w:kern w:val="0"/>
                <w:sz w:val="28"/>
                <w:szCs w:val="28"/>
                <w:lang w:eastAsia="en-NZ"/>
                <w14:ligatures w14:val="none"/>
              </w:rPr>
              <w:t xml:space="preserve">SC9, </w:t>
            </w:r>
            <w:r w:rsidRPr="00130E27">
              <w:rPr>
                <w:rFonts w:eastAsia="Times New Roman" w:cstheme="minorHAnsi"/>
                <w:color w:val="4472C4" w:themeColor="accent1"/>
                <w:kern w:val="0"/>
                <w:sz w:val="28"/>
                <w:szCs w:val="28"/>
                <w:lang w:eastAsia="en-NZ"/>
                <w14:ligatures w14:val="none"/>
              </w:rPr>
              <w:t>SC10</w:t>
            </w:r>
          </w:p>
        </w:tc>
        <w:tc>
          <w:tcPr>
            <w:tcW w:w="2194" w:type="dxa"/>
            <w:shd w:val="clear" w:color="auto" w:fill="FFFFFF"/>
            <w:vAlign w:val="center"/>
          </w:tcPr>
          <w:p w14:paraId="40394574" w14:textId="4FF871F1" w:rsidR="00F134A6" w:rsidRPr="00130E27" w:rsidRDefault="00F134A6"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Supervisor session</w:t>
            </w:r>
          </w:p>
        </w:tc>
      </w:tr>
      <w:tr w:rsidR="003F69F1" w:rsidRPr="003137C0" w14:paraId="69FA2268" w14:textId="77777777" w:rsidTr="00BB5F31">
        <w:trPr>
          <w:jc w:val="center"/>
        </w:trPr>
        <w:tc>
          <w:tcPr>
            <w:tcW w:w="1413" w:type="dxa"/>
            <w:vMerge/>
            <w:shd w:val="clear" w:color="auto" w:fill="FFFFFF"/>
            <w:vAlign w:val="center"/>
          </w:tcPr>
          <w:p w14:paraId="3693903A"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5610C853" w14:textId="483C3AC1"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22</w:t>
            </w:r>
            <w:r w:rsidR="00220E4D">
              <w:rPr>
                <w:rFonts w:eastAsia="Times New Roman" w:cstheme="minorHAnsi"/>
                <w:color w:val="262626" w:themeColor="text1" w:themeTint="D9"/>
                <w:kern w:val="0"/>
                <w:sz w:val="28"/>
                <w:szCs w:val="28"/>
                <w:lang w:eastAsia="en-NZ"/>
                <w14:ligatures w14:val="none"/>
              </w:rPr>
              <w:t xml:space="preserve"> Sep</w:t>
            </w:r>
          </w:p>
        </w:tc>
        <w:tc>
          <w:tcPr>
            <w:tcW w:w="7346" w:type="dxa"/>
            <w:shd w:val="clear" w:color="auto" w:fill="FFFFFF"/>
            <w:vAlign w:val="center"/>
          </w:tcPr>
          <w:p w14:paraId="5CE20E63" w14:textId="493F3EC5" w:rsidR="003F69F1" w:rsidRPr="00130E27" w:rsidRDefault="003F69F1" w:rsidP="003F69F1">
            <w:pPr>
              <w:spacing w:after="0" w:line="240" w:lineRule="auto"/>
              <w:rPr>
                <w:rFonts w:eastAsia="Times New Roman" w:cstheme="minorHAnsi"/>
                <w:color w:val="7030A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Your thesis unlocked: Results and Discussion</w:t>
            </w:r>
          </w:p>
        </w:tc>
        <w:tc>
          <w:tcPr>
            <w:tcW w:w="1726" w:type="dxa"/>
            <w:shd w:val="clear" w:color="auto" w:fill="FFFFFF"/>
            <w:vAlign w:val="center"/>
          </w:tcPr>
          <w:p w14:paraId="674EDDEE" w14:textId="1A57E5DC"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w:t>
            </w:r>
          </w:p>
        </w:tc>
        <w:tc>
          <w:tcPr>
            <w:tcW w:w="2194" w:type="dxa"/>
            <w:shd w:val="clear" w:color="auto" w:fill="FFFFFF"/>
            <w:vAlign w:val="center"/>
          </w:tcPr>
          <w:p w14:paraId="57A4D7DD" w14:textId="3919D7AE"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3F69F1" w:rsidRPr="003137C0" w14:paraId="215EAE71" w14:textId="77777777" w:rsidTr="00BB5F31">
        <w:trPr>
          <w:jc w:val="center"/>
        </w:trPr>
        <w:tc>
          <w:tcPr>
            <w:tcW w:w="1413" w:type="dxa"/>
            <w:vMerge/>
            <w:shd w:val="clear" w:color="auto" w:fill="FFFFFF"/>
            <w:vAlign w:val="center"/>
            <w:hideMark/>
          </w:tcPr>
          <w:p w14:paraId="1F5FA74F"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hideMark/>
          </w:tcPr>
          <w:p w14:paraId="33A24D27" w14:textId="2B8C31F9"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24</w:t>
            </w:r>
            <w:r w:rsidR="00220E4D">
              <w:rPr>
                <w:rFonts w:eastAsia="Times New Roman" w:cstheme="minorHAnsi"/>
                <w:color w:val="262626" w:themeColor="text1" w:themeTint="D9"/>
                <w:kern w:val="0"/>
                <w:sz w:val="28"/>
                <w:szCs w:val="28"/>
                <w:lang w:eastAsia="en-NZ"/>
                <w14:ligatures w14:val="none"/>
              </w:rPr>
              <w:t xml:space="preserve"> Sep</w:t>
            </w:r>
          </w:p>
        </w:tc>
        <w:tc>
          <w:tcPr>
            <w:tcW w:w="7346" w:type="dxa"/>
            <w:shd w:val="clear" w:color="auto" w:fill="FFFFFF"/>
            <w:vAlign w:val="center"/>
            <w:hideMark/>
          </w:tcPr>
          <w:p w14:paraId="7476A7A2" w14:textId="5BC0B5EB"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Turbocharge your writing</w:t>
            </w:r>
          </w:p>
        </w:tc>
        <w:tc>
          <w:tcPr>
            <w:tcW w:w="1726" w:type="dxa"/>
            <w:shd w:val="clear" w:color="auto" w:fill="FFFFFF"/>
            <w:vAlign w:val="center"/>
          </w:tcPr>
          <w:p w14:paraId="021FC24B" w14:textId="2EB5497B"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w:t>
            </w:r>
          </w:p>
        </w:tc>
        <w:tc>
          <w:tcPr>
            <w:tcW w:w="2194" w:type="dxa"/>
            <w:shd w:val="clear" w:color="auto" w:fill="FFFFFF"/>
            <w:vAlign w:val="center"/>
          </w:tcPr>
          <w:p w14:paraId="0709E339" w14:textId="5B08F805"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3F69F1" w:rsidRPr="003137C0" w14:paraId="240F4F51" w14:textId="77777777" w:rsidTr="00BB5F31">
        <w:trPr>
          <w:jc w:val="center"/>
        </w:trPr>
        <w:tc>
          <w:tcPr>
            <w:tcW w:w="1413" w:type="dxa"/>
            <w:vMerge/>
            <w:shd w:val="clear" w:color="auto" w:fill="FFFFFF"/>
            <w:vAlign w:val="center"/>
          </w:tcPr>
          <w:p w14:paraId="626BE03E" w14:textId="7777777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FFFFFF"/>
            <w:vAlign w:val="center"/>
          </w:tcPr>
          <w:p w14:paraId="5F868C74" w14:textId="4280438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30</w:t>
            </w:r>
            <w:r w:rsidR="00220E4D">
              <w:rPr>
                <w:rFonts w:eastAsia="Times New Roman" w:cstheme="minorHAnsi"/>
                <w:color w:val="262626" w:themeColor="text1" w:themeTint="D9"/>
                <w:kern w:val="0"/>
                <w:sz w:val="28"/>
                <w:szCs w:val="28"/>
                <w:lang w:eastAsia="en-NZ"/>
                <w14:ligatures w14:val="none"/>
              </w:rPr>
              <w:t xml:space="preserve"> Sep</w:t>
            </w:r>
          </w:p>
        </w:tc>
        <w:tc>
          <w:tcPr>
            <w:tcW w:w="7346" w:type="dxa"/>
            <w:shd w:val="clear" w:color="auto" w:fill="FFFFFF"/>
            <w:vAlign w:val="center"/>
          </w:tcPr>
          <w:p w14:paraId="47C7277D" w14:textId="7A62A579" w:rsidR="003F69F1" w:rsidRPr="00130E27" w:rsidRDefault="003F69F1" w:rsidP="003F69F1">
            <w:pPr>
              <w:spacing w:after="0" w:line="240" w:lineRule="auto"/>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Write, munch, and connect: One-day mini writing bootcamp</w:t>
            </w:r>
          </w:p>
        </w:tc>
        <w:tc>
          <w:tcPr>
            <w:tcW w:w="1726" w:type="dxa"/>
            <w:shd w:val="clear" w:color="auto" w:fill="FFFFFF"/>
            <w:vAlign w:val="center"/>
          </w:tcPr>
          <w:p w14:paraId="289C2D12" w14:textId="10A38ACF" w:rsidR="003F69F1" w:rsidRPr="00130E27" w:rsidRDefault="003F69F1" w:rsidP="003F69F1">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SC5</w:t>
            </w:r>
          </w:p>
        </w:tc>
        <w:tc>
          <w:tcPr>
            <w:tcW w:w="2194" w:type="dxa"/>
            <w:shd w:val="clear" w:color="auto" w:fill="FFFFFF"/>
            <w:vAlign w:val="center"/>
          </w:tcPr>
          <w:p w14:paraId="3E42CF16" w14:textId="4D3C97E6" w:rsidR="003F69F1" w:rsidRPr="00130E27" w:rsidRDefault="003F69F1" w:rsidP="003F69F1">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C00000"/>
                <w:kern w:val="0"/>
                <w:sz w:val="28"/>
                <w:szCs w:val="28"/>
                <w:lang w:eastAsia="en-NZ"/>
                <w14:ligatures w14:val="none"/>
              </w:rPr>
              <w:t>Bootcamp</w:t>
            </w:r>
          </w:p>
        </w:tc>
      </w:tr>
      <w:tr w:rsidR="003F69F1" w:rsidRPr="003137C0" w14:paraId="6F59E82D" w14:textId="77777777" w:rsidTr="00BB5F31">
        <w:trPr>
          <w:jc w:val="center"/>
        </w:trPr>
        <w:tc>
          <w:tcPr>
            <w:tcW w:w="1413" w:type="dxa"/>
            <w:vMerge w:val="restart"/>
            <w:shd w:val="clear" w:color="auto" w:fill="E2EFD9" w:themeFill="accent6" w:themeFillTint="33"/>
            <w:vAlign w:val="center"/>
          </w:tcPr>
          <w:p w14:paraId="47E84026" w14:textId="5122B160" w:rsidR="003F69F1" w:rsidRPr="00130E27" w:rsidRDefault="003F69F1" w:rsidP="003F69F1">
            <w:pPr>
              <w:spacing w:after="0" w:line="240" w:lineRule="auto"/>
              <w:jc w:val="center"/>
              <w:rPr>
                <w:rFonts w:eastAsia="Times New Roman" w:cstheme="minorHAnsi"/>
                <w:b/>
                <w:bCs/>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October</w:t>
            </w:r>
          </w:p>
        </w:tc>
        <w:tc>
          <w:tcPr>
            <w:tcW w:w="1276" w:type="dxa"/>
            <w:shd w:val="clear" w:color="auto" w:fill="E2EFD9" w:themeFill="accent6" w:themeFillTint="33"/>
            <w:vAlign w:val="center"/>
          </w:tcPr>
          <w:p w14:paraId="33F1DE14" w14:textId="10C3CA57"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08</w:t>
            </w:r>
            <w:r w:rsidR="00220E4D">
              <w:rPr>
                <w:rFonts w:eastAsia="Times New Roman" w:cstheme="minorHAnsi"/>
                <w:color w:val="262626" w:themeColor="text1" w:themeTint="D9"/>
                <w:kern w:val="0"/>
                <w:sz w:val="28"/>
                <w:szCs w:val="28"/>
                <w:lang w:eastAsia="en-NZ"/>
                <w14:ligatures w14:val="none"/>
              </w:rPr>
              <w:t xml:space="preserve"> Oct</w:t>
            </w:r>
          </w:p>
        </w:tc>
        <w:tc>
          <w:tcPr>
            <w:tcW w:w="7346" w:type="dxa"/>
            <w:shd w:val="clear" w:color="auto" w:fill="E2EFD9" w:themeFill="accent6" w:themeFillTint="33"/>
            <w:vAlign w:val="center"/>
          </w:tcPr>
          <w:p w14:paraId="60E16ACC" w14:textId="2B13CCBC" w:rsidR="003F69F1" w:rsidRPr="00130E27" w:rsidRDefault="003F69F1" w:rsidP="003F69F1">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Crafting winning ethics applications</w:t>
            </w:r>
          </w:p>
        </w:tc>
        <w:tc>
          <w:tcPr>
            <w:tcW w:w="1726" w:type="dxa"/>
            <w:shd w:val="clear" w:color="auto" w:fill="E2EFD9" w:themeFill="accent6" w:themeFillTint="33"/>
            <w:vAlign w:val="center"/>
          </w:tcPr>
          <w:p w14:paraId="42CB0387" w14:textId="5F949F0B" w:rsidR="003F69F1" w:rsidRPr="00130E27" w:rsidRDefault="003F69F1" w:rsidP="003F69F1">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SC4</w:t>
            </w:r>
          </w:p>
        </w:tc>
        <w:tc>
          <w:tcPr>
            <w:tcW w:w="2194" w:type="dxa"/>
            <w:shd w:val="clear" w:color="auto" w:fill="E2EFD9" w:themeFill="accent6" w:themeFillTint="33"/>
            <w:vAlign w:val="center"/>
          </w:tcPr>
          <w:p w14:paraId="01532FB5" w14:textId="40E0BF16" w:rsidR="003F69F1" w:rsidRPr="00130E27" w:rsidRDefault="003F69F1" w:rsidP="003F69F1">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Supervisor session</w:t>
            </w:r>
          </w:p>
        </w:tc>
      </w:tr>
      <w:tr w:rsidR="00DA6705" w:rsidRPr="003137C0" w14:paraId="4D14CF3C" w14:textId="77777777" w:rsidTr="00BB5F31">
        <w:trPr>
          <w:jc w:val="center"/>
        </w:trPr>
        <w:tc>
          <w:tcPr>
            <w:tcW w:w="1413" w:type="dxa"/>
            <w:vMerge/>
            <w:shd w:val="clear" w:color="auto" w:fill="E2EFD9" w:themeFill="accent6" w:themeFillTint="33"/>
            <w:vAlign w:val="center"/>
          </w:tcPr>
          <w:p w14:paraId="62AE1112" w14:textId="0329DEDA" w:rsidR="00DA6705" w:rsidRPr="00130E27" w:rsidRDefault="00DA6705" w:rsidP="00DA6705">
            <w:pPr>
              <w:spacing w:after="0" w:line="240" w:lineRule="auto"/>
              <w:jc w:val="center"/>
              <w:rPr>
                <w:rFonts w:eastAsia="Times New Roman" w:cstheme="minorHAnsi"/>
                <w:b/>
                <w:bCs/>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4AD1C3F1" w14:textId="728AF330" w:rsidR="00DA6705" w:rsidRPr="00130E27" w:rsidRDefault="00DA6705" w:rsidP="00DA6705">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15</w:t>
            </w:r>
            <w:r w:rsidR="00220E4D">
              <w:rPr>
                <w:rFonts w:eastAsia="Times New Roman" w:cstheme="minorHAnsi"/>
                <w:color w:val="262626" w:themeColor="text1" w:themeTint="D9"/>
                <w:kern w:val="0"/>
                <w:sz w:val="28"/>
                <w:szCs w:val="28"/>
                <w:lang w:eastAsia="en-NZ"/>
                <w14:ligatures w14:val="none"/>
              </w:rPr>
              <w:t xml:space="preserve"> Oct</w:t>
            </w:r>
          </w:p>
        </w:tc>
        <w:tc>
          <w:tcPr>
            <w:tcW w:w="7346" w:type="dxa"/>
            <w:shd w:val="clear" w:color="auto" w:fill="E2EFD9" w:themeFill="accent6" w:themeFillTint="33"/>
            <w:vAlign w:val="center"/>
          </w:tcPr>
          <w:p w14:paraId="6C56DDAC" w14:textId="71387D4D" w:rsidR="00DA6705" w:rsidRPr="00130E27" w:rsidRDefault="00DA6705" w:rsidP="00DA6705">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C00000"/>
                <w:kern w:val="0"/>
                <w:sz w:val="28"/>
                <w:szCs w:val="28"/>
                <w:lang w:eastAsia="en-NZ"/>
                <w14:ligatures w14:val="none"/>
              </w:rPr>
              <w:t>Write, munch, and connect: One-day mini writing bootcamp</w:t>
            </w:r>
          </w:p>
        </w:tc>
        <w:tc>
          <w:tcPr>
            <w:tcW w:w="1726" w:type="dxa"/>
            <w:shd w:val="clear" w:color="auto" w:fill="E2EFD9" w:themeFill="accent6" w:themeFillTint="33"/>
            <w:vAlign w:val="center"/>
          </w:tcPr>
          <w:p w14:paraId="1078C28E" w14:textId="58098662" w:rsidR="00DA6705" w:rsidRPr="00130E27" w:rsidRDefault="00DA6705" w:rsidP="00DA6705">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C00000"/>
                <w:kern w:val="0"/>
                <w:sz w:val="28"/>
                <w:szCs w:val="28"/>
                <w:lang w:eastAsia="en-NZ"/>
                <w14:ligatures w14:val="none"/>
              </w:rPr>
              <w:t>SC5</w:t>
            </w:r>
          </w:p>
        </w:tc>
        <w:tc>
          <w:tcPr>
            <w:tcW w:w="2194" w:type="dxa"/>
            <w:shd w:val="clear" w:color="auto" w:fill="E2EFD9" w:themeFill="accent6" w:themeFillTint="33"/>
            <w:vAlign w:val="center"/>
          </w:tcPr>
          <w:p w14:paraId="5B83099E" w14:textId="2DDF4493" w:rsidR="00DA6705" w:rsidRPr="00130E27" w:rsidRDefault="00DA6705" w:rsidP="00DA6705">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C00000"/>
                <w:kern w:val="0"/>
                <w:sz w:val="28"/>
                <w:szCs w:val="28"/>
                <w:lang w:eastAsia="en-NZ"/>
                <w14:ligatures w14:val="none"/>
              </w:rPr>
              <w:t>Bootcamp</w:t>
            </w:r>
          </w:p>
        </w:tc>
      </w:tr>
      <w:tr w:rsidR="003F69F1" w:rsidRPr="003137C0" w14:paraId="7016AFEF" w14:textId="77777777" w:rsidTr="00BB5F31">
        <w:trPr>
          <w:jc w:val="center"/>
        </w:trPr>
        <w:tc>
          <w:tcPr>
            <w:tcW w:w="1413" w:type="dxa"/>
            <w:vMerge/>
            <w:shd w:val="clear" w:color="auto" w:fill="E2EFD9" w:themeFill="accent6" w:themeFillTint="33"/>
            <w:vAlign w:val="center"/>
            <w:hideMark/>
          </w:tcPr>
          <w:p w14:paraId="4856E963" w14:textId="633F9638"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4944479E" w14:textId="0879CFE0" w:rsidR="003F69F1" w:rsidRPr="00130E27" w:rsidRDefault="003F69F1"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20</w:t>
            </w:r>
            <w:r w:rsidR="00220E4D">
              <w:rPr>
                <w:rFonts w:eastAsia="Times New Roman" w:cstheme="minorHAnsi"/>
                <w:color w:val="262626" w:themeColor="text1" w:themeTint="D9"/>
                <w:kern w:val="0"/>
                <w:sz w:val="28"/>
                <w:szCs w:val="28"/>
                <w:lang w:eastAsia="en-NZ"/>
                <w14:ligatures w14:val="none"/>
              </w:rPr>
              <w:t xml:space="preserve"> Oct</w:t>
            </w:r>
          </w:p>
        </w:tc>
        <w:tc>
          <w:tcPr>
            <w:tcW w:w="7346" w:type="dxa"/>
            <w:shd w:val="clear" w:color="auto" w:fill="E2EFD9" w:themeFill="accent6" w:themeFillTint="33"/>
            <w:vAlign w:val="center"/>
          </w:tcPr>
          <w:p w14:paraId="5B7C4B45" w14:textId="0CD8CA24" w:rsidR="003F69F1" w:rsidRPr="00130E27" w:rsidRDefault="003F69F1" w:rsidP="003F69F1">
            <w:pPr>
              <w:spacing w:after="0" w:line="240" w:lineRule="auto"/>
              <w:rPr>
                <w:rFonts w:eastAsia="Times New Roman" w:cstheme="minorHAnsi"/>
                <w:color w:val="7030A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Your thesis unlocked: Conclusion</w:t>
            </w:r>
            <w:r w:rsidRPr="00130E27">
              <w:rPr>
                <w:rFonts w:eastAsia="Times New Roman" w:cstheme="minorHAnsi"/>
                <w:color w:val="7030A0"/>
                <w:kern w:val="0"/>
                <w:sz w:val="28"/>
                <w:szCs w:val="28"/>
                <w:lang w:eastAsia="en-NZ"/>
                <w14:ligatures w14:val="none"/>
              </w:rPr>
              <w:t xml:space="preserve"> </w:t>
            </w:r>
          </w:p>
        </w:tc>
        <w:tc>
          <w:tcPr>
            <w:tcW w:w="1726" w:type="dxa"/>
            <w:shd w:val="clear" w:color="auto" w:fill="E2EFD9" w:themeFill="accent6" w:themeFillTint="33"/>
            <w:vAlign w:val="center"/>
          </w:tcPr>
          <w:p w14:paraId="49B9D37E" w14:textId="0028BA16" w:rsidR="003F69F1" w:rsidRPr="00130E27" w:rsidRDefault="003F69F1"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w:t>
            </w:r>
          </w:p>
        </w:tc>
        <w:tc>
          <w:tcPr>
            <w:tcW w:w="2194" w:type="dxa"/>
            <w:shd w:val="clear" w:color="auto" w:fill="E2EFD9" w:themeFill="accent6" w:themeFillTint="33"/>
            <w:vAlign w:val="center"/>
          </w:tcPr>
          <w:p w14:paraId="4A606BDC" w14:textId="4DE8AF08" w:rsidR="003F69F1" w:rsidRPr="00130E27" w:rsidRDefault="003F69F1" w:rsidP="003F69F1">
            <w:pPr>
              <w:spacing w:after="0" w:line="240" w:lineRule="auto"/>
              <w:jc w:val="center"/>
              <w:rPr>
                <w:rFonts w:eastAsia="Times New Roman" w:cstheme="minorHAnsi"/>
                <w:color w:val="7030A0"/>
                <w:kern w:val="0"/>
                <w:sz w:val="28"/>
                <w:szCs w:val="28"/>
                <w:lang w:eastAsia="en-NZ"/>
                <w14:ligatures w14:val="none"/>
              </w:rPr>
            </w:pPr>
            <w:r w:rsidRPr="002C08B9">
              <w:rPr>
                <w:rFonts w:eastAsia="Times New Roman" w:cstheme="minorHAnsi"/>
                <w:color w:val="262626" w:themeColor="text1" w:themeTint="D9"/>
                <w:kern w:val="0"/>
                <w:sz w:val="28"/>
                <w:szCs w:val="28"/>
                <w:lang w:eastAsia="en-NZ"/>
                <w14:ligatures w14:val="none"/>
              </w:rPr>
              <w:t>Student workshop</w:t>
            </w:r>
          </w:p>
        </w:tc>
      </w:tr>
      <w:tr w:rsidR="007342A7" w:rsidRPr="003137C0" w14:paraId="1D793D71" w14:textId="77777777" w:rsidTr="002B6425">
        <w:trPr>
          <w:trHeight w:val="70"/>
          <w:jc w:val="center"/>
        </w:trPr>
        <w:tc>
          <w:tcPr>
            <w:tcW w:w="1413" w:type="dxa"/>
            <w:vMerge/>
            <w:shd w:val="clear" w:color="auto" w:fill="E2EFD9" w:themeFill="accent6" w:themeFillTint="33"/>
            <w:vAlign w:val="center"/>
          </w:tcPr>
          <w:p w14:paraId="64DE1C4A" w14:textId="77777777" w:rsidR="007342A7" w:rsidRPr="00130E27" w:rsidRDefault="007342A7" w:rsidP="007342A7">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37F0269D" w14:textId="25EE46FC" w:rsidR="007342A7" w:rsidRPr="00130E27" w:rsidRDefault="007342A7" w:rsidP="007342A7">
            <w:pPr>
              <w:spacing w:after="0" w:line="240" w:lineRule="auto"/>
              <w:rPr>
                <w:rFonts w:eastAsia="Times New Roman" w:cstheme="minorHAnsi"/>
                <w:color w:val="262626" w:themeColor="text1" w:themeTint="D9"/>
                <w:kern w:val="0"/>
                <w:sz w:val="28"/>
                <w:szCs w:val="28"/>
                <w:lang w:eastAsia="en-NZ"/>
                <w14:ligatures w14:val="none"/>
              </w:rPr>
            </w:pPr>
            <w:r>
              <w:rPr>
                <w:rFonts w:eastAsia="Times New Roman" w:cstheme="minorHAnsi"/>
                <w:kern w:val="0"/>
                <w:sz w:val="28"/>
                <w:szCs w:val="28"/>
                <w:lang w:eastAsia="en-NZ"/>
                <w14:ligatures w14:val="none"/>
              </w:rPr>
              <w:t>20</w:t>
            </w:r>
            <w:r>
              <w:rPr>
                <w:rFonts w:eastAsia="Times New Roman" w:cstheme="minorHAnsi"/>
                <w:kern w:val="0"/>
                <w:sz w:val="28"/>
                <w:szCs w:val="28"/>
                <w:lang w:eastAsia="en-NZ"/>
                <w14:ligatures w14:val="none"/>
              </w:rPr>
              <w:t xml:space="preserve"> </w:t>
            </w:r>
            <w:r>
              <w:rPr>
                <w:rFonts w:eastAsia="Times New Roman" w:cstheme="minorHAnsi"/>
                <w:kern w:val="0"/>
                <w:sz w:val="28"/>
                <w:szCs w:val="28"/>
                <w:lang w:eastAsia="en-NZ"/>
                <w14:ligatures w14:val="none"/>
              </w:rPr>
              <w:t>Oct</w:t>
            </w:r>
          </w:p>
        </w:tc>
        <w:tc>
          <w:tcPr>
            <w:tcW w:w="7346" w:type="dxa"/>
            <w:shd w:val="clear" w:color="auto" w:fill="E2EFD9" w:themeFill="accent6" w:themeFillTint="33"/>
          </w:tcPr>
          <w:p w14:paraId="130625D0" w14:textId="3BEDB522" w:rsidR="007342A7" w:rsidRPr="00130E27" w:rsidRDefault="007342A7" w:rsidP="007342A7">
            <w:pPr>
              <w:spacing w:after="0" w:line="240" w:lineRule="auto"/>
              <w:rPr>
                <w:rFonts w:eastAsia="Times New Roman" w:cstheme="minorHAnsi"/>
                <w:color w:val="4472C4" w:themeColor="accent1"/>
                <w:kern w:val="0"/>
                <w:sz w:val="28"/>
                <w:szCs w:val="28"/>
                <w:lang w:eastAsia="en-NZ"/>
                <w14:ligatures w14:val="none"/>
              </w:rPr>
            </w:pPr>
            <w:proofErr w:type="spellStart"/>
            <w:r w:rsidRPr="007342A7">
              <w:rPr>
                <w:rFonts w:eastAsia="Times New Roman" w:cstheme="minorHAnsi"/>
                <w:color w:val="262626" w:themeColor="text1" w:themeTint="D9"/>
                <w:kern w:val="0"/>
                <w:sz w:val="28"/>
                <w:szCs w:val="28"/>
                <w:lang w:eastAsia="en-NZ"/>
                <w14:ligatures w14:val="none"/>
              </w:rPr>
              <w:t>Takahuri</w:t>
            </w:r>
            <w:proofErr w:type="spellEnd"/>
            <w:r w:rsidRPr="007342A7">
              <w:rPr>
                <w:rFonts w:eastAsia="Times New Roman" w:cstheme="minorHAnsi"/>
                <w:color w:val="262626" w:themeColor="text1" w:themeTint="D9"/>
                <w:kern w:val="0"/>
                <w:sz w:val="28"/>
                <w:szCs w:val="28"/>
                <w:lang w:eastAsia="en-NZ"/>
                <w14:ligatures w14:val="none"/>
              </w:rPr>
              <w:t xml:space="preserve"> Sustainability Seminar Series (Sustainability team)</w:t>
            </w:r>
          </w:p>
        </w:tc>
        <w:tc>
          <w:tcPr>
            <w:tcW w:w="1726" w:type="dxa"/>
            <w:shd w:val="clear" w:color="auto" w:fill="E2EFD9" w:themeFill="accent6" w:themeFillTint="33"/>
          </w:tcPr>
          <w:p w14:paraId="6DE548B1" w14:textId="294AA9FA" w:rsidR="007342A7" w:rsidRPr="007342A7" w:rsidRDefault="007342A7" w:rsidP="007342A7">
            <w:pPr>
              <w:spacing w:after="0" w:line="240" w:lineRule="auto"/>
              <w:jc w:val="center"/>
              <w:rPr>
                <w:rFonts w:eastAsia="Times New Roman" w:cstheme="minorHAnsi"/>
                <w:color w:val="262626" w:themeColor="text1" w:themeTint="D9"/>
                <w:kern w:val="0"/>
                <w:sz w:val="28"/>
                <w:szCs w:val="28"/>
                <w:lang w:eastAsia="en-NZ"/>
                <w14:ligatures w14:val="none"/>
              </w:rPr>
            </w:pPr>
            <w:r w:rsidRPr="007342A7">
              <w:rPr>
                <w:rFonts w:eastAsia="Times New Roman" w:cstheme="minorHAnsi"/>
                <w:color w:val="262626" w:themeColor="text1" w:themeTint="D9"/>
                <w:kern w:val="0"/>
                <w:sz w:val="28"/>
                <w:szCs w:val="28"/>
                <w:lang w:eastAsia="en-NZ"/>
                <w14:ligatures w14:val="none"/>
              </w:rPr>
              <w:t>SC7</w:t>
            </w:r>
          </w:p>
        </w:tc>
        <w:tc>
          <w:tcPr>
            <w:tcW w:w="2194" w:type="dxa"/>
            <w:shd w:val="clear" w:color="auto" w:fill="E2EFD9" w:themeFill="accent6" w:themeFillTint="33"/>
          </w:tcPr>
          <w:p w14:paraId="1022ADFB" w14:textId="3067A062" w:rsidR="007342A7" w:rsidRPr="007342A7" w:rsidRDefault="007342A7" w:rsidP="007342A7">
            <w:pPr>
              <w:spacing w:after="0" w:line="240" w:lineRule="auto"/>
              <w:jc w:val="center"/>
              <w:rPr>
                <w:rFonts w:eastAsia="Times New Roman" w:cstheme="minorHAnsi"/>
                <w:color w:val="262626" w:themeColor="text1" w:themeTint="D9"/>
                <w:kern w:val="0"/>
                <w:sz w:val="28"/>
                <w:szCs w:val="28"/>
                <w:lang w:eastAsia="en-NZ"/>
                <w14:ligatures w14:val="none"/>
              </w:rPr>
            </w:pPr>
            <w:r w:rsidRPr="007342A7">
              <w:rPr>
                <w:rFonts w:eastAsia="Times New Roman" w:cstheme="minorHAnsi"/>
                <w:color w:val="262626" w:themeColor="text1" w:themeTint="D9"/>
                <w:kern w:val="0"/>
                <w:sz w:val="28"/>
                <w:szCs w:val="28"/>
                <w:lang w:eastAsia="en-NZ"/>
                <w14:ligatures w14:val="none"/>
              </w:rPr>
              <w:t>Student workshop</w:t>
            </w:r>
          </w:p>
        </w:tc>
      </w:tr>
      <w:tr w:rsidR="00FB5A74" w:rsidRPr="003137C0" w14:paraId="2CF9E2E0" w14:textId="77777777" w:rsidTr="00BB5F31">
        <w:trPr>
          <w:trHeight w:val="70"/>
          <w:jc w:val="center"/>
        </w:trPr>
        <w:tc>
          <w:tcPr>
            <w:tcW w:w="1413" w:type="dxa"/>
            <w:vMerge/>
            <w:shd w:val="clear" w:color="auto" w:fill="E2EFD9" w:themeFill="accent6" w:themeFillTint="33"/>
            <w:vAlign w:val="center"/>
          </w:tcPr>
          <w:p w14:paraId="50AAE92E" w14:textId="77777777" w:rsidR="00FB5A74" w:rsidRPr="00130E27" w:rsidRDefault="00FB5A74" w:rsidP="003F69F1">
            <w:pPr>
              <w:spacing w:after="0" w:line="240" w:lineRule="auto"/>
              <w:rPr>
                <w:rFonts w:eastAsia="Times New Roman" w:cstheme="minorHAnsi"/>
                <w:color w:val="262626" w:themeColor="text1" w:themeTint="D9"/>
                <w:kern w:val="0"/>
                <w:sz w:val="28"/>
                <w:szCs w:val="28"/>
                <w:lang w:eastAsia="en-NZ"/>
                <w14:ligatures w14:val="none"/>
              </w:rPr>
            </w:pPr>
          </w:p>
        </w:tc>
        <w:tc>
          <w:tcPr>
            <w:tcW w:w="1276" w:type="dxa"/>
            <w:shd w:val="clear" w:color="auto" w:fill="E2EFD9" w:themeFill="accent6" w:themeFillTint="33"/>
            <w:vAlign w:val="center"/>
          </w:tcPr>
          <w:p w14:paraId="47C07263" w14:textId="0FD73DD2" w:rsidR="00FB5A74" w:rsidRPr="00130E27" w:rsidRDefault="00FB5A74"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27</w:t>
            </w:r>
            <w:r w:rsidR="00220E4D">
              <w:rPr>
                <w:rFonts w:eastAsia="Times New Roman" w:cstheme="minorHAnsi"/>
                <w:color w:val="262626" w:themeColor="text1" w:themeTint="D9"/>
                <w:kern w:val="0"/>
                <w:sz w:val="28"/>
                <w:szCs w:val="28"/>
                <w:lang w:eastAsia="en-NZ"/>
                <w14:ligatures w14:val="none"/>
              </w:rPr>
              <w:t xml:space="preserve"> Oct</w:t>
            </w:r>
          </w:p>
        </w:tc>
        <w:tc>
          <w:tcPr>
            <w:tcW w:w="7346" w:type="dxa"/>
            <w:shd w:val="clear" w:color="auto" w:fill="E2EFD9" w:themeFill="accent6" w:themeFillTint="33"/>
            <w:vAlign w:val="center"/>
          </w:tcPr>
          <w:p w14:paraId="3CF1104A" w14:textId="3B980C24" w:rsidR="00FB5A74" w:rsidRPr="00130E27" w:rsidRDefault="00FB5A74" w:rsidP="003F69F1">
            <w:pPr>
              <w:spacing w:after="0" w:line="240" w:lineRule="auto"/>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Orientation to PGR supervision</w:t>
            </w:r>
          </w:p>
        </w:tc>
        <w:tc>
          <w:tcPr>
            <w:tcW w:w="1726" w:type="dxa"/>
            <w:shd w:val="clear" w:color="auto" w:fill="E2EFD9" w:themeFill="accent6" w:themeFillTint="33"/>
            <w:vAlign w:val="center"/>
          </w:tcPr>
          <w:p w14:paraId="070AB5F0" w14:textId="365EAC2D" w:rsidR="00FB5A74" w:rsidRPr="00130E27" w:rsidRDefault="00FB5A74" w:rsidP="009A736D">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SC8, SC10</w:t>
            </w:r>
          </w:p>
        </w:tc>
        <w:tc>
          <w:tcPr>
            <w:tcW w:w="2194" w:type="dxa"/>
            <w:shd w:val="clear" w:color="auto" w:fill="E2EFD9" w:themeFill="accent6" w:themeFillTint="33"/>
            <w:vAlign w:val="center"/>
          </w:tcPr>
          <w:p w14:paraId="40F25D81" w14:textId="5E0F92EC" w:rsidR="00FB5A74" w:rsidRPr="00130E27" w:rsidRDefault="00FB5A74" w:rsidP="009A736D">
            <w:pPr>
              <w:spacing w:after="0" w:line="240" w:lineRule="auto"/>
              <w:jc w:val="center"/>
              <w:rPr>
                <w:rFonts w:eastAsia="Times New Roman" w:cstheme="minorHAnsi"/>
                <w:color w:val="4472C4" w:themeColor="accent1"/>
                <w:kern w:val="0"/>
                <w:sz w:val="28"/>
                <w:szCs w:val="28"/>
                <w:lang w:eastAsia="en-NZ"/>
                <w14:ligatures w14:val="none"/>
              </w:rPr>
            </w:pPr>
            <w:r w:rsidRPr="00130E27">
              <w:rPr>
                <w:rFonts w:eastAsia="Times New Roman" w:cstheme="minorHAnsi"/>
                <w:color w:val="4472C4" w:themeColor="accent1"/>
                <w:kern w:val="0"/>
                <w:sz w:val="28"/>
                <w:szCs w:val="28"/>
                <w:lang w:eastAsia="en-NZ"/>
                <w14:ligatures w14:val="none"/>
              </w:rPr>
              <w:t>Supervisor session</w:t>
            </w:r>
          </w:p>
        </w:tc>
      </w:tr>
      <w:tr w:rsidR="00F55EB4" w:rsidRPr="003137C0" w14:paraId="17C52A81" w14:textId="77777777" w:rsidTr="00BB5F31">
        <w:trPr>
          <w:jc w:val="center"/>
        </w:trPr>
        <w:tc>
          <w:tcPr>
            <w:tcW w:w="1413" w:type="dxa"/>
            <w:vMerge w:val="restart"/>
            <w:shd w:val="clear" w:color="auto" w:fill="FFFFFF"/>
            <w:vAlign w:val="center"/>
          </w:tcPr>
          <w:p w14:paraId="1527F742" w14:textId="5E639D9B" w:rsidR="00F55EB4" w:rsidRPr="00130E27" w:rsidRDefault="00F55EB4" w:rsidP="003F69F1">
            <w:pPr>
              <w:spacing w:after="0" w:line="240" w:lineRule="auto"/>
              <w:jc w:val="center"/>
              <w:rPr>
                <w:rFonts w:eastAsia="Times New Roman" w:cstheme="minorHAnsi"/>
                <w:b/>
                <w:bCs/>
                <w:color w:val="262626" w:themeColor="text1" w:themeTint="D9"/>
                <w:kern w:val="0"/>
                <w:sz w:val="28"/>
                <w:szCs w:val="28"/>
                <w:lang w:eastAsia="en-NZ"/>
                <w14:ligatures w14:val="none"/>
              </w:rPr>
            </w:pPr>
            <w:r w:rsidRPr="00130E27">
              <w:rPr>
                <w:rFonts w:eastAsia="Times New Roman" w:cstheme="minorHAnsi"/>
                <w:b/>
                <w:bCs/>
                <w:color w:val="262626" w:themeColor="text1" w:themeTint="D9"/>
                <w:kern w:val="0"/>
                <w:sz w:val="28"/>
                <w:szCs w:val="28"/>
                <w:lang w:eastAsia="en-NZ"/>
                <w14:ligatures w14:val="none"/>
              </w:rPr>
              <w:t>November</w:t>
            </w:r>
          </w:p>
        </w:tc>
        <w:tc>
          <w:tcPr>
            <w:tcW w:w="1276" w:type="dxa"/>
            <w:shd w:val="clear" w:color="auto" w:fill="FFFFFF"/>
            <w:vAlign w:val="center"/>
          </w:tcPr>
          <w:p w14:paraId="39454AF6" w14:textId="04E9963A" w:rsidR="00F55EB4" w:rsidRPr="00130E27" w:rsidRDefault="00F55EB4" w:rsidP="00E14B8C">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kern w:val="0"/>
                <w:sz w:val="28"/>
                <w:szCs w:val="28"/>
                <w:lang w:eastAsia="en-NZ"/>
                <w14:ligatures w14:val="none"/>
              </w:rPr>
              <w:t>03</w:t>
            </w:r>
            <w:r>
              <w:rPr>
                <w:rFonts w:eastAsia="Times New Roman" w:cstheme="minorHAnsi"/>
                <w:kern w:val="0"/>
                <w:sz w:val="28"/>
                <w:szCs w:val="28"/>
                <w:lang w:eastAsia="en-NZ"/>
                <w14:ligatures w14:val="none"/>
              </w:rPr>
              <w:t>-</w:t>
            </w:r>
            <w:r w:rsidRPr="00130E27">
              <w:rPr>
                <w:rFonts w:eastAsia="Times New Roman" w:cstheme="minorHAnsi"/>
                <w:kern w:val="0"/>
                <w:sz w:val="28"/>
                <w:szCs w:val="28"/>
                <w:lang w:eastAsia="en-NZ"/>
                <w14:ligatures w14:val="none"/>
              </w:rPr>
              <w:t>05</w:t>
            </w:r>
            <w:r>
              <w:rPr>
                <w:rFonts w:eastAsia="Times New Roman" w:cstheme="minorHAnsi"/>
                <w:kern w:val="0"/>
                <w:sz w:val="28"/>
                <w:szCs w:val="28"/>
                <w:lang w:eastAsia="en-NZ"/>
                <w14:ligatures w14:val="none"/>
              </w:rPr>
              <w:t xml:space="preserve"> Nov</w:t>
            </w:r>
          </w:p>
        </w:tc>
        <w:tc>
          <w:tcPr>
            <w:tcW w:w="7346" w:type="dxa"/>
            <w:shd w:val="clear" w:color="auto" w:fill="FFFFFF"/>
            <w:vAlign w:val="center"/>
          </w:tcPr>
          <w:p w14:paraId="32598ABF" w14:textId="7ED17F3A" w:rsidR="00F55EB4" w:rsidRPr="00130E27" w:rsidRDefault="00F55EB4" w:rsidP="00E14B8C">
            <w:pPr>
              <w:spacing w:after="0" w:line="240" w:lineRule="auto"/>
              <w:rPr>
                <w:rFonts w:eastAsia="Times New Roman" w:cstheme="minorHAnsi"/>
                <w:b/>
                <w:bCs/>
                <w:color w:val="00B050"/>
                <w:kern w:val="0"/>
                <w:sz w:val="28"/>
                <w:szCs w:val="28"/>
                <w:lang w:eastAsia="en-NZ"/>
                <w14:ligatures w14:val="none"/>
              </w:rPr>
            </w:pPr>
            <w:r w:rsidRPr="00130E27">
              <w:rPr>
                <w:rFonts w:eastAsia="Times New Roman" w:cstheme="minorHAnsi"/>
                <w:color w:val="C00000"/>
                <w:kern w:val="0"/>
                <w:sz w:val="28"/>
                <w:szCs w:val="28"/>
                <w:lang w:eastAsia="en-NZ"/>
                <w14:ligatures w14:val="none"/>
              </w:rPr>
              <w:t>Come write with us: Three-day writing bootcamp</w:t>
            </w:r>
          </w:p>
        </w:tc>
        <w:tc>
          <w:tcPr>
            <w:tcW w:w="1726" w:type="dxa"/>
            <w:shd w:val="clear" w:color="auto" w:fill="FFFFFF"/>
            <w:vAlign w:val="center"/>
          </w:tcPr>
          <w:p w14:paraId="302C90E3" w14:textId="460AC2BD" w:rsidR="00F55EB4" w:rsidRPr="00130E27" w:rsidRDefault="00F55EB4" w:rsidP="00E14B8C">
            <w:pPr>
              <w:spacing w:after="0" w:line="240" w:lineRule="auto"/>
              <w:jc w:val="center"/>
              <w:rPr>
                <w:rFonts w:eastAsia="Times New Roman" w:cstheme="minorHAnsi"/>
                <w:b/>
                <w:bCs/>
                <w:color w:val="00B050"/>
                <w:kern w:val="0"/>
                <w:sz w:val="28"/>
                <w:szCs w:val="28"/>
                <w:lang w:eastAsia="en-NZ"/>
                <w14:ligatures w14:val="none"/>
              </w:rPr>
            </w:pPr>
            <w:r w:rsidRPr="00130E27">
              <w:rPr>
                <w:rFonts w:eastAsia="Times New Roman" w:cstheme="minorHAnsi"/>
                <w:color w:val="C00000"/>
                <w:kern w:val="0"/>
                <w:sz w:val="28"/>
                <w:szCs w:val="28"/>
                <w:lang w:eastAsia="en-NZ"/>
                <w14:ligatures w14:val="none"/>
              </w:rPr>
              <w:t>SC5</w:t>
            </w:r>
          </w:p>
        </w:tc>
        <w:tc>
          <w:tcPr>
            <w:tcW w:w="2194" w:type="dxa"/>
            <w:shd w:val="clear" w:color="auto" w:fill="FFFFFF"/>
            <w:vAlign w:val="center"/>
          </w:tcPr>
          <w:p w14:paraId="38BF2397" w14:textId="25DDB171" w:rsidR="00F55EB4" w:rsidRPr="00130E27" w:rsidRDefault="00F55EB4" w:rsidP="00E14B8C">
            <w:pPr>
              <w:spacing w:after="0" w:line="240" w:lineRule="auto"/>
              <w:jc w:val="center"/>
              <w:rPr>
                <w:rFonts w:eastAsia="Times New Roman" w:cstheme="minorHAnsi"/>
                <w:b/>
                <w:bCs/>
                <w:color w:val="00B050"/>
                <w:kern w:val="0"/>
                <w:sz w:val="28"/>
                <w:szCs w:val="28"/>
                <w:lang w:eastAsia="en-NZ"/>
                <w14:ligatures w14:val="none"/>
              </w:rPr>
            </w:pPr>
            <w:r w:rsidRPr="00130E27">
              <w:rPr>
                <w:rFonts w:eastAsia="Times New Roman" w:cstheme="minorHAnsi"/>
                <w:color w:val="C00000"/>
                <w:kern w:val="0"/>
                <w:sz w:val="28"/>
                <w:szCs w:val="28"/>
                <w:lang w:eastAsia="en-NZ"/>
                <w14:ligatures w14:val="none"/>
              </w:rPr>
              <w:t>Bootcamp</w:t>
            </w:r>
          </w:p>
        </w:tc>
      </w:tr>
      <w:tr w:rsidR="00F55EB4" w:rsidRPr="003137C0" w14:paraId="6A113974" w14:textId="77777777" w:rsidTr="00BB5F31">
        <w:trPr>
          <w:jc w:val="center"/>
        </w:trPr>
        <w:tc>
          <w:tcPr>
            <w:tcW w:w="1413" w:type="dxa"/>
            <w:vMerge/>
            <w:shd w:val="clear" w:color="auto" w:fill="FFFFFF"/>
            <w:vAlign w:val="center"/>
            <w:hideMark/>
          </w:tcPr>
          <w:p w14:paraId="03B730D5" w14:textId="47506EB5" w:rsidR="00F55EB4" w:rsidRPr="003137C0" w:rsidRDefault="00F55EB4" w:rsidP="003F69F1">
            <w:pPr>
              <w:spacing w:after="0" w:line="240" w:lineRule="auto"/>
              <w:jc w:val="center"/>
              <w:rPr>
                <w:rFonts w:eastAsia="Times New Roman" w:cstheme="minorHAnsi"/>
                <w:color w:val="262626" w:themeColor="text1" w:themeTint="D9"/>
                <w:kern w:val="0"/>
                <w:sz w:val="26"/>
                <w:szCs w:val="26"/>
                <w:lang w:eastAsia="en-NZ"/>
                <w14:ligatures w14:val="none"/>
              </w:rPr>
            </w:pPr>
          </w:p>
        </w:tc>
        <w:tc>
          <w:tcPr>
            <w:tcW w:w="1276" w:type="dxa"/>
            <w:shd w:val="clear" w:color="auto" w:fill="FFFFFF"/>
            <w:vAlign w:val="center"/>
          </w:tcPr>
          <w:p w14:paraId="25D9190C" w14:textId="185C7112" w:rsidR="00F55EB4" w:rsidRPr="00130E27" w:rsidRDefault="00F55EB4"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10</w:t>
            </w:r>
            <w:r>
              <w:rPr>
                <w:rFonts w:eastAsia="Times New Roman" w:cstheme="minorHAnsi"/>
                <w:color w:val="262626" w:themeColor="text1" w:themeTint="D9"/>
                <w:kern w:val="0"/>
                <w:sz w:val="28"/>
                <w:szCs w:val="28"/>
                <w:lang w:eastAsia="en-NZ"/>
                <w14:ligatures w14:val="none"/>
              </w:rPr>
              <w:t xml:space="preserve"> Nov</w:t>
            </w:r>
          </w:p>
        </w:tc>
        <w:tc>
          <w:tcPr>
            <w:tcW w:w="7346" w:type="dxa"/>
            <w:shd w:val="clear" w:color="auto" w:fill="FFFFFF"/>
            <w:vAlign w:val="center"/>
          </w:tcPr>
          <w:p w14:paraId="14A2A7A5" w14:textId="2394EF2D" w:rsidR="00F55EB4" w:rsidRPr="00837457" w:rsidRDefault="00F55EB4" w:rsidP="003F69F1">
            <w:pPr>
              <w:spacing w:after="0" w:line="240" w:lineRule="auto"/>
              <w:rPr>
                <w:rFonts w:eastAsia="Times New Roman" w:cstheme="minorHAnsi"/>
                <w:color w:val="7030A0"/>
                <w:kern w:val="0"/>
                <w:sz w:val="28"/>
                <w:szCs w:val="28"/>
                <w:lang w:eastAsia="en-NZ"/>
                <w14:ligatures w14:val="none"/>
              </w:rPr>
            </w:pPr>
            <w:r w:rsidRPr="00837457">
              <w:rPr>
                <w:rFonts w:eastAsia="Times New Roman" w:cstheme="minorHAnsi"/>
                <w:color w:val="7030A0"/>
                <w:kern w:val="0"/>
                <w:sz w:val="28"/>
                <w:szCs w:val="28"/>
                <w:lang w:eastAsia="en-NZ"/>
                <w14:ligatures w14:val="none"/>
              </w:rPr>
              <w:t>Getting off to the best start</w:t>
            </w:r>
          </w:p>
        </w:tc>
        <w:tc>
          <w:tcPr>
            <w:tcW w:w="1726" w:type="dxa"/>
            <w:shd w:val="clear" w:color="auto" w:fill="FFFFFF"/>
            <w:vAlign w:val="center"/>
          </w:tcPr>
          <w:p w14:paraId="6207E874" w14:textId="204CF25F" w:rsidR="00F55EB4" w:rsidRPr="00837457" w:rsidRDefault="00F55EB4" w:rsidP="003F69F1">
            <w:pPr>
              <w:spacing w:after="0" w:line="240" w:lineRule="auto"/>
              <w:jc w:val="center"/>
              <w:rPr>
                <w:rFonts w:eastAsia="Times New Roman" w:cstheme="minorHAnsi"/>
                <w:color w:val="7030A0"/>
                <w:kern w:val="0"/>
                <w:sz w:val="28"/>
                <w:szCs w:val="28"/>
                <w:lang w:eastAsia="en-NZ"/>
                <w14:ligatures w14:val="none"/>
              </w:rPr>
            </w:pPr>
            <w:r w:rsidRPr="00837457">
              <w:rPr>
                <w:rFonts w:eastAsia="Times New Roman" w:cstheme="minorHAnsi"/>
                <w:color w:val="7030A0"/>
                <w:kern w:val="0"/>
                <w:sz w:val="28"/>
                <w:szCs w:val="28"/>
                <w:lang w:eastAsia="en-NZ"/>
                <w14:ligatures w14:val="none"/>
              </w:rPr>
              <w:t>SC8</w:t>
            </w:r>
          </w:p>
        </w:tc>
        <w:tc>
          <w:tcPr>
            <w:tcW w:w="2194" w:type="dxa"/>
            <w:shd w:val="clear" w:color="auto" w:fill="FFFFFF"/>
            <w:vAlign w:val="center"/>
          </w:tcPr>
          <w:p w14:paraId="3F0626F4" w14:textId="609A388B" w:rsidR="00F55EB4" w:rsidRPr="00837457" w:rsidRDefault="00F55EB4" w:rsidP="003F69F1">
            <w:pPr>
              <w:spacing w:after="0" w:line="240" w:lineRule="auto"/>
              <w:jc w:val="center"/>
              <w:rPr>
                <w:rFonts w:eastAsia="Times New Roman" w:cstheme="minorHAnsi"/>
                <w:color w:val="7030A0"/>
                <w:kern w:val="0"/>
                <w:sz w:val="28"/>
                <w:szCs w:val="28"/>
                <w:lang w:eastAsia="en-NZ"/>
                <w14:ligatures w14:val="none"/>
              </w:rPr>
            </w:pPr>
            <w:r w:rsidRPr="00837457">
              <w:rPr>
                <w:rFonts w:eastAsia="Times New Roman" w:cstheme="minorHAnsi"/>
                <w:color w:val="7030A0"/>
                <w:kern w:val="0"/>
                <w:sz w:val="28"/>
                <w:szCs w:val="28"/>
                <w:lang w:eastAsia="en-NZ"/>
                <w14:ligatures w14:val="none"/>
              </w:rPr>
              <w:t>Doctoral Induction</w:t>
            </w:r>
          </w:p>
        </w:tc>
      </w:tr>
      <w:tr w:rsidR="00F55EB4" w:rsidRPr="003137C0" w14:paraId="565DC8F3" w14:textId="77777777" w:rsidTr="00BB5F31">
        <w:trPr>
          <w:jc w:val="center"/>
        </w:trPr>
        <w:tc>
          <w:tcPr>
            <w:tcW w:w="1413" w:type="dxa"/>
            <w:vMerge/>
            <w:shd w:val="clear" w:color="auto" w:fill="FFFFFF"/>
            <w:vAlign w:val="center"/>
          </w:tcPr>
          <w:p w14:paraId="6254F6FB" w14:textId="77777777" w:rsidR="00F55EB4" w:rsidRPr="003137C0" w:rsidRDefault="00F55EB4" w:rsidP="003F69F1">
            <w:pPr>
              <w:spacing w:after="0" w:line="240" w:lineRule="auto"/>
              <w:rPr>
                <w:rFonts w:eastAsia="Times New Roman" w:cstheme="minorHAnsi"/>
                <w:color w:val="262626" w:themeColor="text1" w:themeTint="D9"/>
                <w:kern w:val="0"/>
                <w:sz w:val="26"/>
                <w:szCs w:val="26"/>
                <w:lang w:eastAsia="en-NZ"/>
                <w14:ligatures w14:val="none"/>
              </w:rPr>
            </w:pPr>
          </w:p>
        </w:tc>
        <w:tc>
          <w:tcPr>
            <w:tcW w:w="1276" w:type="dxa"/>
            <w:shd w:val="clear" w:color="auto" w:fill="FFFFFF"/>
            <w:vAlign w:val="center"/>
          </w:tcPr>
          <w:p w14:paraId="7093EB46" w14:textId="0A2D93DA" w:rsidR="00F55EB4" w:rsidRPr="00130E27" w:rsidRDefault="00F55EB4"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12</w:t>
            </w:r>
            <w:r>
              <w:rPr>
                <w:rFonts w:eastAsia="Times New Roman" w:cstheme="minorHAnsi"/>
                <w:color w:val="262626" w:themeColor="text1" w:themeTint="D9"/>
                <w:kern w:val="0"/>
                <w:sz w:val="28"/>
                <w:szCs w:val="28"/>
                <w:lang w:eastAsia="en-NZ"/>
                <w14:ligatures w14:val="none"/>
              </w:rPr>
              <w:t xml:space="preserve"> Nov</w:t>
            </w:r>
          </w:p>
        </w:tc>
        <w:tc>
          <w:tcPr>
            <w:tcW w:w="7346" w:type="dxa"/>
            <w:shd w:val="clear" w:color="auto" w:fill="FFFFFF"/>
            <w:vAlign w:val="center"/>
          </w:tcPr>
          <w:p w14:paraId="75B5D270" w14:textId="5719444F" w:rsidR="00F55EB4" w:rsidRPr="00837457" w:rsidRDefault="00F55EB4" w:rsidP="003F69F1">
            <w:pPr>
              <w:spacing w:after="0" w:line="240" w:lineRule="auto"/>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The lifecycle of the PhD</w:t>
            </w:r>
          </w:p>
        </w:tc>
        <w:tc>
          <w:tcPr>
            <w:tcW w:w="1726" w:type="dxa"/>
            <w:shd w:val="clear" w:color="auto" w:fill="FFFFFF"/>
            <w:vAlign w:val="center"/>
          </w:tcPr>
          <w:p w14:paraId="5B57162F" w14:textId="30216733" w:rsidR="00F55EB4" w:rsidRPr="00837457" w:rsidRDefault="00F55EB4"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SC8</w:t>
            </w:r>
          </w:p>
        </w:tc>
        <w:tc>
          <w:tcPr>
            <w:tcW w:w="2194" w:type="dxa"/>
            <w:shd w:val="clear" w:color="auto" w:fill="FFFFFF"/>
            <w:vAlign w:val="center"/>
          </w:tcPr>
          <w:p w14:paraId="36FB00E3" w14:textId="4177C683" w:rsidR="00F55EB4" w:rsidRPr="00837457" w:rsidRDefault="00F55EB4"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837457">
              <w:rPr>
                <w:rFonts w:eastAsia="Times New Roman" w:cstheme="minorHAnsi"/>
                <w:color w:val="262626" w:themeColor="text1" w:themeTint="D9"/>
                <w:kern w:val="0"/>
                <w:sz w:val="28"/>
                <w:szCs w:val="28"/>
                <w:lang w:eastAsia="en-NZ"/>
                <w14:ligatures w14:val="none"/>
              </w:rPr>
              <w:t>Student workshop</w:t>
            </w:r>
          </w:p>
        </w:tc>
      </w:tr>
      <w:tr w:rsidR="00F55EB4" w:rsidRPr="003137C0" w14:paraId="37D8BBBF" w14:textId="77777777" w:rsidTr="00BB5F31">
        <w:trPr>
          <w:jc w:val="center"/>
        </w:trPr>
        <w:tc>
          <w:tcPr>
            <w:tcW w:w="1413" w:type="dxa"/>
            <w:vMerge/>
            <w:shd w:val="clear" w:color="auto" w:fill="FFFFFF"/>
            <w:vAlign w:val="center"/>
          </w:tcPr>
          <w:p w14:paraId="48C5A713" w14:textId="77777777" w:rsidR="00F55EB4" w:rsidRPr="003137C0" w:rsidRDefault="00F55EB4" w:rsidP="003F69F1">
            <w:pPr>
              <w:spacing w:after="0" w:line="240" w:lineRule="auto"/>
              <w:rPr>
                <w:rFonts w:eastAsia="Times New Roman" w:cstheme="minorHAnsi"/>
                <w:color w:val="262626" w:themeColor="text1" w:themeTint="D9"/>
                <w:kern w:val="0"/>
                <w:sz w:val="26"/>
                <w:szCs w:val="26"/>
                <w:lang w:eastAsia="en-NZ"/>
                <w14:ligatures w14:val="none"/>
              </w:rPr>
            </w:pPr>
          </w:p>
        </w:tc>
        <w:tc>
          <w:tcPr>
            <w:tcW w:w="1276" w:type="dxa"/>
            <w:shd w:val="clear" w:color="auto" w:fill="FFFFFF"/>
            <w:vAlign w:val="center"/>
          </w:tcPr>
          <w:p w14:paraId="61A76C93" w14:textId="02FB7CD1" w:rsidR="00F55EB4" w:rsidRPr="00130E27" w:rsidRDefault="00F55EB4"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17</w:t>
            </w:r>
            <w:r>
              <w:rPr>
                <w:rFonts w:eastAsia="Times New Roman" w:cstheme="minorHAnsi"/>
                <w:color w:val="262626" w:themeColor="text1" w:themeTint="D9"/>
                <w:kern w:val="0"/>
                <w:sz w:val="28"/>
                <w:szCs w:val="28"/>
                <w:lang w:eastAsia="en-NZ"/>
                <w14:ligatures w14:val="none"/>
              </w:rPr>
              <w:t xml:space="preserve"> Nov</w:t>
            </w:r>
          </w:p>
        </w:tc>
        <w:tc>
          <w:tcPr>
            <w:tcW w:w="7346" w:type="dxa"/>
            <w:shd w:val="clear" w:color="auto" w:fill="FFFFFF"/>
            <w:vAlign w:val="center"/>
          </w:tcPr>
          <w:p w14:paraId="6EFD3A16" w14:textId="35589D3D" w:rsidR="00F55EB4" w:rsidRPr="00130E27" w:rsidRDefault="00F55EB4" w:rsidP="003F69F1">
            <w:pPr>
              <w:spacing w:after="0" w:line="240" w:lineRule="auto"/>
              <w:rPr>
                <w:rFonts w:eastAsia="Times New Roman" w:cstheme="minorHAnsi"/>
                <w:color w:val="C0000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 xml:space="preserve">CV's and Cover letters that stand out </w:t>
            </w:r>
          </w:p>
        </w:tc>
        <w:tc>
          <w:tcPr>
            <w:tcW w:w="1726" w:type="dxa"/>
            <w:shd w:val="clear" w:color="auto" w:fill="FFFFFF"/>
            <w:vAlign w:val="center"/>
          </w:tcPr>
          <w:p w14:paraId="03AA5369" w14:textId="3A6AA1A2" w:rsidR="00F55EB4" w:rsidRPr="00130E27" w:rsidRDefault="00F55EB4" w:rsidP="003F69F1">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SC9</w:t>
            </w:r>
          </w:p>
        </w:tc>
        <w:tc>
          <w:tcPr>
            <w:tcW w:w="2194" w:type="dxa"/>
            <w:shd w:val="clear" w:color="auto" w:fill="FFFFFF"/>
            <w:vAlign w:val="center"/>
          </w:tcPr>
          <w:p w14:paraId="384E8889" w14:textId="22793093" w:rsidR="00F55EB4" w:rsidRPr="00130E27" w:rsidRDefault="00F55EB4" w:rsidP="003F69F1">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55EB4" w:rsidRPr="003137C0" w14:paraId="6165B397" w14:textId="77777777" w:rsidTr="00BB5F31">
        <w:trPr>
          <w:jc w:val="center"/>
        </w:trPr>
        <w:tc>
          <w:tcPr>
            <w:tcW w:w="1413" w:type="dxa"/>
            <w:vMerge/>
            <w:shd w:val="clear" w:color="auto" w:fill="FFFFFF"/>
            <w:vAlign w:val="center"/>
          </w:tcPr>
          <w:p w14:paraId="07852E8A" w14:textId="77777777" w:rsidR="00F55EB4" w:rsidRPr="003137C0" w:rsidRDefault="00F55EB4" w:rsidP="003F69F1">
            <w:pPr>
              <w:spacing w:after="0" w:line="240" w:lineRule="auto"/>
              <w:rPr>
                <w:rFonts w:eastAsia="Times New Roman" w:cstheme="minorHAnsi"/>
                <w:color w:val="262626" w:themeColor="text1" w:themeTint="D9"/>
                <w:kern w:val="0"/>
                <w:sz w:val="26"/>
                <w:szCs w:val="26"/>
                <w:lang w:eastAsia="en-NZ"/>
                <w14:ligatures w14:val="none"/>
              </w:rPr>
            </w:pPr>
          </w:p>
        </w:tc>
        <w:tc>
          <w:tcPr>
            <w:tcW w:w="1276" w:type="dxa"/>
            <w:shd w:val="clear" w:color="auto" w:fill="FFFFFF"/>
            <w:vAlign w:val="center"/>
          </w:tcPr>
          <w:p w14:paraId="1B571EE1" w14:textId="557E48B7" w:rsidR="00F55EB4" w:rsidRPr="00130E27" w:rsidRDefault="00F55EB4"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17</w:t>
            </w:r>
            <w:r>
              <w:rPr>
                <w:rFonts w:eastAsia="Times New Roman" w:cstheme="minorHAnsi"/>
                <w:color w:val="262626" w:themeColor="text1" w:themeTint="D9"/>
                <w:kern w:val="0"/>
                <w:sz w:val="28"/>
                <w:szCs w:val="28"/>
                <w:lang w:eastAsia="en-NZ"/>
                <w14:ligatures w14:val="none"/>
              </w:rPr>
              <w:t xml:space="preserve"> Nov</w:t>
            </w:r>
          </w:p>
        </w:tc>
        <w:tc>
          <w:tcPr>
            <w:tcW w:w="7346" w:type="dxa"/>
            <w:shd w:val="clear" w:color="auto" w:fill="FFFFFF"/>
            <w:vAlign w:val="center"/>
          </w:tcPr>
          <w:p w14:paraId="784860CC" w14:textId="53935B10" w:rsidR="00F55EB4" w:rsidRPr="00130E27" w:rsidRDefault="00F55EB4" w:rsidP="003F69F1">
            <w:pPr>
              <w:spacing w:after="0" w:line="240" w:lineRule="auto"/>
              <w:rPr>
                <w:rFonts w:eastAsia="Times New Roman" w:cstheme="minorHAnsi"/>
                <w:color w:val="C0000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Understanding the job market</w:t>
            </w:r>
          </w:p>
        </w:tc>
        <w:tc>
          <w:tcPr>
            <w:tcW w:w="1726" w:type="dxa"/>
            <w:shd w:val="clear" w:color="auto" w:fill="FFFFFF"/>
            <w:vAlign w:val="center"/>
          </w:tcPr>
          <w:p w14:paraId="0BB661C2" w14:textId="2EFF4C3A" w:rsidR="00F55EB4" w:rsidRPr="00130E27" w:rsidRDefault="00F55EB4" w:rsidP="003F69F1">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SC9</w:t>
            </w:r>
          </w:p>
        </w:tc>
        <w:tc>
          <w:tcPr>
            <w:tcW w:w="2194" w:type="dxa"/>
            <w:shd w:val="clear" w:color="auto" w:fill="FFFFFF"/>
            <w:vAlign w:val="center"/>
          </w:tcPr>
          <w:p w14:paraId="6ED0F576" w14:textId="40724A16" w:rsidR="00F55EB4" w:rsidRPr="00130E27" w:rsidRDefault="00F55EB4" w:rsidP="003F69F1">
            <w:pPr>
              <w:spacing w:after="0" w:line="240" w:lineRule="auto"/>
              <w:jc w:val="center"/>
              <w:rPr>
                <w:rFonts w:eastAsia="Times New Roman" w:cstheme="minorHAnsi"/>
                <w:color w:val="C0000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55EB4" w:rsidRPr="003137C0" w14:paraId="2F9B36FF" w14:textId="77777777" w:rsidTr="00BB5F31">
        <w:trPr>
          <w:trHeight w:val="70"/>
          <w:jc w:val="center"/>
        </w:trPr>
        <w:tc>
          <w:tcPr>
            <w:tcW w:w="1413" w:type="dxa"/>
            <w:vMerge/>
            <w:shd w:val="clear" w:color="auto" w:fill="FFFFFF"/>
            <w:vAlign w:val="center"/>
          </w:tcPr>
          <w:p w14:paraId="17A00D0F" w14:textId="77777777" w:rsidR="00F55EB4" w:rsidRPr="003137C0" w:rsidRDefault="00F55EB4" w:rsidP="003F69F1">
            <w:pPr>
              <w:spacing w:after="0" w:line="240" w:lineRule="auto"/>
              <w:rPr>
                <w:rFonts w:eastAsia="Times New Roman" w:cstheme="minorHAnsi"/>
                <w:color w:val="262626" w:themeColor="text1" w:themeTint="D9"/>
                <w:kern w:val="0"/>
                <w:sz w:val="26"/>
                <w:szCs w:val="26"/>
                <w:lang w:eastAsia="en-NZ"/>
                <w14:ligatures w14:val="none"/>
              </w:rPr>
            </w:pPr>
          </w:p>
        </w:tc>
        <w:tc>
          <w:tcPr>
            <w:tcW w:w="1276" w:type="dxa"/>
            <w:shd w:val="clear" w:color="auto" w:fill="FFFFFF"/>
            <w:vAlign w:val="center"/>
          </w:tcPr>
          <w:p w14:paraId="7221A840" w14:textId="0B78D152" w:rsidR="00F55EB4" w:rsidRPr="00130E27" w:rsidRDefault="00F55EB4" w:rsidP="003F69F1">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26</w:t>
            </w:r>
            <w:r>
              <w:rPr>
                <w:rFonts w:eastAsia="Times New Roman" w:cstheme="minorHAnsi"/>
                <w:color w:val="262626" w:themeColor="text1" w:themeTint="D9"/>
                <w:kern w:val="0"/>
                <w:sz w:val="28"/>
                <w:szCs w:val="28"/>
                <w:lang w:eastAsia="en-NZ"/>
                <w14:ligatures w14:val="none"/>
              </w:rPr>
              <w:t xml:space="preserve"> Nov</w:t>
            </w:r>
          </w:p>
        </w:tc>
        <w:tc>
          <w:tcPr>
            <w:tcW w:w="7346" w:type="dxa"/>
            <w:shd w:val="clear" w:color="auto" w:fill="FFFFFF"/>
            <w:vAlign w:val="center"/>
          </w:tcPr>
          <w:p w14:paraId="10409B1C" w14:textId="2E2C3371" w:rsidR="00F55EB4" w:rsidRPr="00130E27" w:rsidRDefault="00F55EB4" w:rsidP="003F69F1">
            <w:pPr>
              <w:spacing w:after="0" w:line="240" w:lineRule="auto"/>
              <w:rPr>
                <w:rFonts w:eastAsia="Times New Roman" w:cstheme="minorHAnsi"/>
                <w:color w:val="C00000"/>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Your thesis unlocked: Editing and proofreading</w:t>
            </w:r>
          </w:p>
        </w:tc>
        <w:tc>
          <w:tcPr>
            <w:tcW w:w="1726" w:type="dxa"/>
            <w:shd w:val="clear" w:color="auto" w:fill="FFFFFF"/>
            <w:vAlign w:val="center"/>
          </w:tcPr>
          <w:p w14:paraId="198B3E64" w14:textId="01E43AE1" w:rsidR="00F55EB4" w:rsidRPr="00130E27" w:rsidRDefault="00F55EB4"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SC5</w:t>
            </w:r>
          </w:p>
        </w:tc>
        <w:tc>
          <w:tcPr>
            <w:tcW w:w="2194" w:type="dxa"/>
            <w:shd w:val="clear" w:color="auto" w:fill="FFFFFF"/>
            <w:vAlign w:val="center"/>
          </w:tcPr>
          <w:p w14:paraId="0DE5452B" w14:textId="0EBC2600" w:rsidR="00F55EB4" w:rsidRPr="00130E27" w:rsidRDefault="00F55EB4" w:rsidP="003F69F1">
            <w:pPr>
              <w:spacing w:after="0" w:line="240" w:lineRule="auto"/>
              <w:jc w:val="center"/>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Student workshop</w:t>
            </w:r>
          </w:p>
        </w:tc>
      </w:tr>
      <w:tr w:rsidR="00F55EB4" w:rsidRPr="003137C0" w14:paraId="3EFB965D" w14:textId="77777777" w:rsidTr="00E13E2A">
        <w:trPr>
          <w:trHeight w:val="70"/>
          <w:jc w:val="center"/>
        </w:trPr>
        <w:tc>
          <w:tcPr>
            <w:tcW w:w="1413" w:type="dxa"/>
            <w:vMerge/>
            <w:shd w:val="clear" w:color="auto" w:fill="FFFFFF"/>
            <w:vAlign w:val="center"/>
          </w:tcPr>
          <w:p w14:paraId="21F1AE48" w14:textId="77777777" w:rsidR="00F55EB4" w:rsidRPr="003137C0" w:rsidRDefault="00F55EB4" w:rsidP="007342A7">
            <w:pPr>
              <w:spacing w:after="0" w:line="240" w:lineRule="auto"/>
              <w:rPr>
                <w:rFonts w:eastAsia="Times New Roman" w:cstheme="minorHAnsi"/>
                <w:color w:val="262626" w:themeColor="text1" w:themeTint="D9"/>
                <w:kern w:val="0"/>
                <w:sz w:val="26"/>
                <w:szCs w:val="26"/>
                <w:lang w:eastAsia="en-NZ"/>
                <w14:ligatures w14:val="none"/>
              </w:rPr>
            </w:pPr>
          </w:p>
        </w:tc>
        <w:tc>
          <w:tcPr>
            <w:tcW w:w="1276" w:type="dxa"/>
            <w:shd w:val="clear" w:color="auto" w:fill="FFFFFF"/>
            <w:vAlign w:val="center"/>
          </w:tcPr>
          <w:p w14:paraId="4FB7BFB2" w14:textId="76E5E575" w:rsidR="00F55EB4" w:rsidRPr="00130E27" w:rsidRDefault="00F55EB4" w:rsidP="007342A7">
            <w:pPr>
              <w:spacing w:after="0" w:line="240" w:lineRule="auto"/>
              <w:rPr>
                <w:rFonts w:eastAsia="Times New Roman" w:cstheme="minorHAnsi"/>
                <w:color w:val="262626" w:themeColor="text1" w:themeTint="D9"/>
                <w:kern w:val="0"/>
                <w:sz w:val="28"/>
                <w:szCs w:val="28"/>
                <w:lang w:eastAsia="en-NZ"/>
                <w14:ligatures w14:val="none"/>
              </w:rPr>
            </w:pPr>
            <w:r w:rsidRPr="00130E27">
              <w:rPr>
                <w:rFonts w:eastAsia="Times New Roman" w:cstheme="minorHAnsi"/>
                <w:color w:val="262626" w:themeColor="text1" w:themeTint="D9"/>
                <w:kern w:val="0"/>
                <w:sz w:val="28"/>
                <w:szCs w:val="28"/>
                <w:lang w:eastAsia="en-NZ"/>
                <w14:ligatures w14:val="none"/>
              </w:rPr>
              <w:t>26</w:t>
            </w:r>
            <w:r>
              <w:rPr>
                <w:rFonts w:eastAsia="Times New Roman" w:cstheme="minorHAnsi"/>
                <w:color w:val="262626" w:themeColor="text1" w:themeTint="D9"/>
                <w:kern w:val="0"/>
                <w:sz w:val="28"/>
                <w:szCs w:val="28"/>
                <w:lang w:eastAsia="en-NZ"/>
                <w14:ligatures w14:val="none"/>
              </w:rPr>
              <w:t xml:space="preserve"> Nov</w:t>
            </w:r>
          </w:p>
        </w:tc>
        <w:tc>
          <w:tcPr>
            <w:tcW w:w="7346" w:type="dxa"/>
            <w:shd w:val="clear" w:color="auto" w:fill="FFFFFF"/>
          </w:tcPr>
          <w:p w14:paraId="5741EAB3" w14:textId="50DF8DDA" w:rsidR="00F55EB4" w:rsidRPr="00130E27" w:rsidRDefault="004D4F13" w:rsidP="007342A7">
            <w:pPr>
              <w:spacing w:after="0" w:line="240" w:lineRule="auto"/>
              <w:rPr>
                <w:rFonts w:eastAsia="Times New Roman" w:cstheme="minorHAnsi"/>
                <w:color w:val="262626" w:themeColor="text1" w:themeTint="D9"/>
                <w:kern w:val="0"/>
                <w:sz w:val="28"/>
                <w:szCs w:val="28"/>
                <w:lang w:eastAsia="en-NZ"/>
                <w14:ligatures w14:val="none"/>
              </w:rPr>
            </w:pPr>
            <w:r>
              <w:rPr>
                <w:rFonts w:eastAsia="Times New Roman" w:cstheme="minorHAnsi"/>
                <w:color w:val="262626" w:themeColor="text1" w:themeTint="D9"/>
                <w:kern w:val="0"/>
                <w:sz w:val="28"/>
                <w:szCs w:val="28"/>
                <w:lang w:eastAsia="en-NZ"/>
                <w14:ligatures w14:val="none"/>
              </w:rPr>
              <w:t>Research showcase (Sustainability team)</w:t>
            </w:r>
          </w:p>
        </w:tc>
        <w:tc>
          <w:tcPr>
            <w:tcW w:w="1726" w:type="dxa"/>
            <w:shd w:val="clear" w:color="auto" w:fill="FFFFFF"/>
          </w:tcPr>
          <w:p w14:paraId="16D5C978" w14:textId="5F8F94F6" w:rsidR="00F55EB4" w:rsidRPr="00130E27" w:rsidRDefault="00F55EB4" w:rsidP="007342A7">
            <w:pPr>
              <w:spacing w:after="0" w:line="240" w:lineRule="auto"/>
              <w:jc w:val="center"/>
              <w:rPr>
                <w:rFonts w:eastAsia="Times New Roman" w:cstheme="minorHAnsi"/>
                <w:color w:val="262626" w:themeColor="text1" w:themeTint="D9"/>
                <w:kern w:val="0"/>
                <w:sz w:val="28"/>
                <w:szCs w:val="28"/>
                <w:lang w:eastAsia="en-NZ"/>
                <w14:ligatures w14:val="none"/>
              </w:rPr>
            </w:pPr>
            <w:r w:rsidRPr="007342A7">
              <w:rPr>
                <w:rFonts w:eastAsia="Times New Roman" w:cstheme="minorHAnsi"/>
                <w:color w:val="262626" w:themeColor="text1" w:themeTint="D9"/>
                <w:kern w:val="0"/>
                <w:sz w:val="28"/>
                <w:szCs w:val="28"/>
                <w:lang w:eastAsia="en-NZ"/>
                <w14:ligatures w14:val="none"/>
              </w:rPr>
              <w:t>SC7</w:t>
            </w:r>
          </w:p>
        </w:tc>
        <w:tc>
          <w:tcPr>
            <w:tcW w:w="2194" w:type="dxa"/>
            <w:shd w:val="clear" w:color="auto" w:fill="FFFFFF"/>
          </w:tcPr>
          <w:p w14:paraId="229EBE69" w14:textId="22528746" w:rsidR="00F55EB4" w:rsidRPr="00130E27" w:rsidRDefault="00F55EB4" w:rsidP="007342A7">
            <w:pPr>
              <w:spacing w:after="0" w:line="240" w:lineRule="auto"/>
              <w:jc w:val="center"/>
              <w:rPr>
                <w:rFonts w:eastAsia="Times New Roman" w:cstheme="minorHAnsi"/>
                <w:color w:val="262626" w:themeColor="text1" w:themeTint="D9"/>
                <w:kern w:val="0"/>
                <w:sz w:val="28"/>
                <w:szCs w:val="28"/>
                <w:lang w:eastAsia="en-NZ"/>
                <w14:ligatures w14:val="none"/>
              </w:rPr>
            </w:pPr>
            <w:r w:rsidRPr="007342A7">
              <w:rPr>
                <w:rFonts w:eastAsia="Times New Roman" w:cstheme="minorHAnsi"/>
                <w:color w:val="262626" w:themeColor="text1" w:themeTint="D9"/>
                <w:kern w:val="0"/>
                <w:sz w:val="28"/>
                <w:szCs w:val="28"/>
                <w:lang w:eastAsia="en-NZ"/>
                <w14:ligatures w14:val="none"/>
              </w:rPr>
              <w:t>Student workshop</w:t>
            </w:r>
          </w:p>
        </w:tc>
      </w:tr>
    </w:tbl>
    <w:p w14:paraId="2DF3E53F" w14:textId="30CEDD82" w:rsidR="00215E6A" w:rsidRPr="00215E6A" w:rsidRDefault="00215E6A" w:rsidP="00215E6A">
      <w:pPr>
        <w:jc w:val="center"/>
        <w:rPr>
          <w:b/>
          <w:bCs/>
          <w:color w:val="262626" w:themeColor="text1" w:themeTint="D9"/>
          <w:sz w:val="90"/>
          <w:szCs w:val="90"/>
        </w:rPr>
      </w:pPr>
      <w:r w:rsidRPr="00215E6A">
        <w:rPr>
          <w:b/>
          <w:bCs/>
          <w:color w:val="262626" w:themeColor="text1" w:themeTint="D9"/>
          <w:sz w:val="90"/>
          <w:szCs w:val="90"/>
        </w:rPr>
        <w:t>Researcher Development Framework</w:t>
      </w:r>
    </w:p>
    <w:tbl>
      <w:tblPr>
        <w:tblStyle w:val="TableGrid"/>
        <w:tblW w:w="14737" w:type="dxa"/>
        <w:jc w:val="center"/>
        <w:tblLook w:val="04A0" w:firstRow="1" w:lastRow="0" w:firstColumn="1" w:lastColumn="0" w:noHBand="0" w:noVBand="1"/>
      </w:tblPr>
      <w:tblGrid>
        <w:gridCol w:w="740"/>
        <w:gridCol w:w="2175"/>
        <w:gridCol w:w="7560"/>
        <w:gridCol w:w="4262"/>
      </w:tblGrid>
      <w:tr w:rsidR="00215E6A" w:rsidRPr="00D96655" w14:paraId="67689B8A" w14:textId="77777777" w:rsidTr="00254A27">
        <w:trPr>
          <w:trHeight w:val="300"/>
          <w:jc w:val="center"/>
        </w:trPr>
        <w:tc>
          <w:tcPr>
            <w:tcW w:w="2915" w:type="dxa"/>
            <w:gridSpan w:val="2"/>
            <w:shd w:val="clear" w:color="auto" w:fill="A8D08D" w:themeFill="accent6" w:themeFillTint="99"/>
            <w:vAlign w:val="center"/>
          </w:tcPr>
          <w:p w14:paraId="00AE61CE" w14:textId="77777777" w:rsidR="00215E6A" w:rsidRPr="00D96655" w:rsidRDefault="00215E6A" w:rsidP="00254A27">
            <w:pPr>
              <w:jc w:val="center"/>
              <w:rPr>
                <w:b/>
                <w:bCs/>
              </w:rPr>
            </w:pPr>
            <w:r w:rsidRPr="00D96655">
              <w:rPr>
                <w:b/>
                <w:bCs/>
              </w:rPr>
              <w:t>Skill Category</w:t>
            </w:r>
          </w:p>
        </w:tc>
        <w:tc>
          <w:tcPr>
            <w:tcW w:w="7560" w:type="dxa"/>
            <w:shd w:val="clear" w:color="auto" w:fill="A8D08D" w:themeFill="accent6" w:themeFillTint="99"/>
            <w:vAlign w:val="center"/>
          </w:tcPr>
          <w:p w14:paraId="3CEACCFD" w14:textId="575A3E3D" w:rsidR="00215E6A" w:rsidRPr="00D96655" w:rsidRDefault="00215E6A" w:rsidP="00254A27">
            <w:pPr>
              <w:jc w:val="center"/>
              <w:rPr>
                <w:b/>
                <w:bCs/>
              </w:rPr>
            </w:pPr>
            <w:r w:rsidRPr="00D96655">
              <w:rPr>
                <w:b/>
                <w:bCs/>
              </w:rPr>
              <w:t>De</w:t>
            </w:r>
            <w:r w:rsidR="00F82665">
              <w:rPr>
                <w:b/>
                <w:bCs/>
              </w:rPr>
              <w:t>tails</w:t>
            </w:r>
          </w:p>
        </w:tc>
        <w:tc>
          <w:tcPr>
            <w:tcW w:w="4262" w:type="dxa"/>
            <w:shd w:val="clear" w:color="auto" w:fill="A8D08D" w:themeFill="accent6" w:themeFillTint="99"/>
            <w:vAlign w:val="center"/>
          </w:tcPr>
          <w:p w14:paraId="16C6E5BF" w14:textId="77777777" w:rsidR="00215E6A" w:rsidRPr="00D96655" w:rsidRDefault="00215E6A" w:rsidP="00254A27">
            <w:pPr>
              <w:jc w:val="center"/>
              <w:rPr>
                <w:b/>
                <w:bCs/>
              </w:rPr>
            </w:pPr>
            <w:r w:rsidRPr="00D96655">
              <w:rPr>
                <w:b/>
                <w:bCs/>
              </w:rPr>
              <w:t>Key considerations</w:t>
            </w:r>
          </w:p>
        </w:tc>
      </w:tr>
      <w:tr w:rsidR="00215E6A" w:rsidRPr="00D96655" w14:paraId="77E841B2" w14:textId="77777777" w:rsidTr="00254A27">
        <w:trPr>
          <w:trHeight w:val="300"/>
          <w:jc w:val="center"/>
        </w:trPr>
        <w:tc>
          <w:tcPr>
            <w:tcW w:w="740" w:type="dxa"/>
            <w:vAlign w:val="center"/>
          </w:tcPr>
          <w:p w14:paraId="3323DE17" w14:textId="77777777" w:rsidR="00215E6A" w:rsidRPr="00D96655" w:rsidRDefault="00215E6A" w:rsidP="00254A27">
            <w:pPr>
              <w:rPr>
                <w:rFonts w:eastAsiaTheme="minorEastAsia"/>
                <w:b/>
                <w:bCs/>
              </w:rPr>
            </w:pPr>
            <w:r w:rsidRPr="00D96655">
              <w:rPr>
                <w:rFonts w:eastAsiaTheme="minorEastAsia"/>
                <w:b/>
                <w:bCs/>
              </w:rPr>
              <w:t>SC1</w:t>
            </w:r>
          </w:p>
        </w:tc>
        <w:tc>
          <w:tcPr>
            <w:tcW w:w="2175" w:type="dxa"/>
            <w:vAlign w:val="center"/>
          </w:tcPr>
          <w:p w14:paraId="020BF3D9" w14:textId="77777777" w:rsidR="00215E6A" w:rsidRPr="00D96655" w:rsidRDefault="00215E6A" w:rsidP="00254A27">
            <w:pPr>
              <w:rPr>
                <w:rFonts w:eastAsiaTheme="minorEastAsia"/>
                <w:b/>
                <w:bCs/>
              </w:rPr>
            </w:pPr>
            <w:r w:rsidRPr="00D96655">
              <w:rPr>
                <w:rFonts w:eastAsiaTheme="minorEastAsia"/>
                <w:b/>
                <w:bCs/>
              </w:rPr>
              <w:t>Core Subject Expertise</w:t>
            </w:r>
          </w:p>
        </w:tc>
        <w:tc>
          <w:tcPr>
            <w:tcW w:w="7560" w:type="dxa"/>
            <w:vAlign w:val="center"/>
          </w:tcPr>
          <w:p w14:paraId="1F9676FE" w14:textId="77777777" w:rsidR="00215E6A" w:rsidRPr="00D96655" w:rsidRDefault="00215E6A" w:rsidP="00254A27">
            <w:pPr>
              <w:rPr>
                <w:rFonts w:eastAsiaTheme="minorEastAsia"/>
              </w:rPr>
            </w:pPr>
            <w:r w:rsidRPr="00D96655">
              <w:rPr>
                <w:rFonts w:eastAsiaTheme="minorEastAsia"/>
              </w:rPr>
              <w:t xml:space="preserve">This category refers to the concept of a ‘Subject Matter Expert’, which involves possessing in-depth knowledge and expertise in a specific field, area, or topic. It requires specialized skills, a comprehensive understanding, and the ability to excel in performing specific tasks, roles, or functions within an organization, and offering insights and guidance (Khanam, 2023; Russo-Converso &amp; Offutt, 2009). </w:t>
            </w:r>
          </w:p>
        </w:tc>
        <w:tc>
          <w:tcPr>
            <w:tcW w:w="4262" w:type="dxa"/>
            <w:vAlign w:val="center"/>
          </w:tcPr>
          <w:p w14:paraId="6A5FB9BA"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 xml:space="preserve">Critical analysis of foundational theories </w:t>
            </w:r>
          </w:p>
          <w:p w14:paraId="7565020A"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 xml:space="preserve">Comprehensive knowledge of core concepts </w:t>
            </w:r>
          </w:p>
          <w:p w14:paraId="3F0C21EF"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 xml:space="preserve">Familiarity with essential literature </w:t>
            </w:r>
          </w:p>
          <w:p w14:paraId="4F7EA1AB"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 xml:space="preserve">Interdisciplinary awareness </w:t>
            </w:r>
          </w:p>
          <w:p w14:paraId="480D00C7"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 xml:space="preserve">Theoretical framework application </w:t>
            </w:r>
          </w:p>
          <w:p w14:paraId="35E39C19" w14:textId="77777777" w:rsidR="00215E6A" w:rsidRPr="00D96655" w:rsidRDefault="00215E6A" w:rsidP="00215E6A">
            <w:pPr>
              <w:pStyle w:val="ListParagraph"/>
              <w:numPr>
                <w:ilvl w:val="0"/>
                <w:numId w:val="7"/>
              </w:numPr>
              <w:ind w:left="360" w:hanging="216"/>
              <w:rPr>
                <w:rFonts w:eastAsiaTheme="minorEastAsia"/>
              </w:rPr>
            </w:pPr>
            <w:r w:rsidRPr="00D96655">
              <w:rPr>
                <w:rFonts w:eastAsiaTheme="minorEastAsia"/>
              </w:rPr>
              <w:t>Emerging trends awareness</w:t>
            </w:r>
          </w:p>
        </w:tc>
      </w:tr>
      <w:tr w:rsidR="00215E6A" w:rsidRPr="00D96655" w14:paraId="478C5DDA" w14:textId="77777777" w:rsidTr="00254A27">
        <w:trPr>
          <w:trHeight w:val="300"/>
          <w:jc w:val="center"/>
        </w:trPr>
        <w:tc>
          <w:tcPr>
            <w:tcW w:w="740" w:type="dxa"/>
            <w:shd w:val="clear" w:color="auto" w:fill="E2EFD9" w:themeFill="accent6" w:themeFillTint="33"/>
            <w:vAlign w:val="center"/>
          </w:tcPr>
          <w:p w14:paraId="242D48F8" w14:textId="77777777" w:rsidR="00215E6A" w:rsidRPr="00D96655" w:rsidRDefault="00215E6A" w:rsidP="00254A27">
            <w:pPr>
              <w:rPr>
                <w:rFonts w:eastAsiaTheme="minorEastAsia"/>
                <w:b/>
                <w:bCs/>
              </w:rPr>
            </w:pPr>
            <w:r w:rsidRPr="00D96655">
              <w:rPr>
                <w:rFonts w:eastAsiaTheme="minorEastAsia"/>
                <w:b/>
                <w:bCs/>
              </w:rPr>
              <w:t>SC2</w:t>
            </w:r>
          </w:p>
        </w:tc>
        <w:tc>
          <w:tcPr>
            <w:tcW w:w="2175" w:type="dxa"/>
            <w:shd w:val="clear" w:color="auto" w:fill="E2EFD9" w:themeFill="accent6" w:themeFillTint="33"/>
            <w:vAlign w:val="center"/>
          </w:tcPr>
          <w:p w14:paraId="78551CF2" w14:textId="77777777" w:rsidR="00215E6A" w:rsidRPr="00D96655" w:rsidRDefault="00215E6A" w:rsidP="00254A27">
            <w:pPr>
              <w:rPr>
                <w:rFonts w:eastAsiaTheme="minorEastAsia"/>
                <w:b/>
                <w:bCs/>
              </w:rPr>
            </w:pPr>
            <w:r w:rsidRPr="00D96655">
              <w:rPr>
                <w:rFonts w:eastAsiaTheme="minorEastAsia"/>
                <w:b/>
                <w:bCs/>
              </w:rPr>
              <w:t>Cultural awareness, Competence and Responsiveness </w:t>
            </w:r>
          </w:p>
        </w:tc>
        <w:tc>
          <w:tcPr>
            <w:tcW w:w="7560" w:type="dxa"/>
            <w:shd w:val="clear" w:color="auto" w:fill="E2EFD9" w:themeFill="accent6" w:themeFillTint="33"/>
            <w:vAlign w:val="center"/>
          </w:tcPr>
          <w:p w14:paraId="74445B5C" w14:textId="77777777" w:rsidR="00215E6A" w:rsidRPr="00D96655" w:rsidRDefault="00215E6A" w:rsidP="00254A27">
            <w:pPr>
              <w:spacing w:after="160" w:line="259" w:lineRule="auto"/>
              <w:rPr>
                <w:rFonts w:eastAsiaTheme="minorEastAsia"/>
              </w:rPr>
            </w:pPr>
            <w:r w:rsidRPr="00D96655">
              <w:rPr>
                <w:rFonts w:eastAsiaTheme="minorEastAsia"/>
              </w:rPr>
              <w:t>This category encompasses two key concepts: cultural competence and cultural responsiveness. Cultural competence involves being aware of one's own cultural biases and prejudices, continuously acquiring knowledge about other cultures, and developing the necessary communication and behavioural skills to interact effectively with individuals from diverse backgrounds (Alizadeh &amp; Chavan, 2016).  Cultural responsiveness, on the other hand, is an ongoing commitment to improving interactions and services provided to individuals from diverse cultural backgrounds (Hyter &amp; Salas-Provance, 2019). In essence, cultural competence equips individuals with the tools, while cultural responsiveness focuses on their practical application. The former can serve as a foundational framework for the latter (Beaulieu &amp; Jimenez‐Gomez, 2022).</w:t>
            </w:r>
          </w:p>
          <w:p w14:paraId="7D71C48A" w14:textId="77777777" w:rsidR="00215E6A" w:rsidRPr="00D96655" w:rsidRDefault="00215E6A" w:rsidP="00254A27">
            <w:pPr>
              <w:spacing w:after="160" w:line="259" w:lineRule="auto"/>
              <w:rPr>
                <w:rFonts w:eastAsiaTheme="minorEastAsia"/>
              </w:rPr>
            </w:pPr>
            <w:r w:rsidRPr="00D96655">
              <w:rPr>
                <w:rFonts w:eastAsiaTheme="minorEastAsia"/>
              </w:rPr>
              <w:t xml:space="preserve">This category merges the principles of general cultural competence with the specific integration of tikanga Māori values and practices, while also aligning with the principles of Te </w:t>
            </w:r>
            <w:proofErr w:type="spellStart"/>
            <w:r w:rsidRPr="00D96655">
              <w:rPr>
                <w:rFonts w:eastAsiaTheme="minorEastAsia"/>
              </w:rPr>
              <w:t>Tiriti</w:t>
            </w:r>
            <w:proofErr w:type="spellEnd"/>
            <w:r w:rsidRPr="00D96655">
              <w:rPr>
                <w:rFonts w:eastAsiaTheme="minorEastAsia"/>
              </w:rPr>
              <w:t xml:space="preserve"> o Waitangi. It ensures Māori perspectives and rights are represented meaningfully in research and professional contexts. This dual approach supports the development of global cultural awareness while cultivating a deep, localized understanding of Māori frameworks. By blending these aspects, the category builds a robust foundation for practices that are both ethically responsible and culturally inclusive, celebrating diversity while prioritizing equity and respect in academic and professional fields. </w:t>
            </w:r>
          </w:p>
          <w:p w14:paraId="108DE689" w14:textId="77777777" w:rsidR="00215E6A" w:rsidRPr="00D96655" w:rsidRDefault="00215E6A" w:rsidP="00254A27">
            <w:pPr>
              <w:spacing w:after="160" w:line="259" w:lineRule="auto"/>
              <w:rPr>
                <w:rFonts w:eastAsiaTheme="minorEastAsia"/>
                <w:lang w:val="en-US"/>
              </w:rPr>
            </w:pPr>
            <w:r w:rsidRPr="00D96655">
              <w:rPr>
                <w:rFonts w:eastAsiaTheme="minorEastAsia"/>
                <w:lang w:val="en-US"/>
              </w:rPr>
              <w:t xml:space="preserve">Skills and considerations in the category may also sit under SC4 and SC10 </w:t>
            </w:r>
          </w:p>
        </w:tc>
        <w:tc>
          <w:tcPr>
            <w:tcW w:w="4262" w:type="dxa"/>
            <w:shd w:val="clear" w:color="auto" w:fill="E2EFD9" w:themeFill="accent6" w:themeFillTint="33"/>
            <w:vAlign w:val="center"/>
          </w:tcPr>
          <w:p w14:paraId="2ED1C7C0"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 xml:space="preserve">Self-awareness of </w:t>
            </w:r>
            <w:r w:rsidRPr="00D96655">
              <w:t>one’s own cultural</w:t>
            </w:r>
            <w:r w:rsidRPr="00D96655">
              <w:br/>
              <w:t>values and beliefs personally and professionally</w:t>
            </w:r>
          </w:p>
          <w:p w14:paraId="40E8CA25"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Knowledge of other cultures</w:t>
            </w:r>
          </w:p>
          <w:p w14:paraId="3D9FCC87"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Communicating and interacting with individuals from diverse cultural backgrounds (skills including listening, perspective-taking, etc.)</w:t>
            </w:r>
          </w:p>
          <w:p w14:paraId="36761DC7"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Cultural receptivity (attitudes including respect, openness, curiosity, etc.)</w:t>
            </w:r>
          </w:p>
          <w:p w14:paraId="6C6120C0"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Promoting and supporting diversity (Advocating for inclusive theories, practices, policies, structures, and initiatives)</w:t>
            </w:r>
          </w:p>
          <w:p w14:paraId="65324E33"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 xml:space="preserve">Tikanga </w:t>
            </w:r>
            <w:proofErr w:type="spellStart"/>
            <w:r w:rsidRPr="00D96655">
              <w:rPr>
                <w:rFonts w:eastAsiaTheme="minorEastAsia"/>
              </w:rPr>
              <w:t>Māori</w:t>
            </w:r>
            <w:proofErr w:type="spellEnd"/>
            <w:r w:rsidRPr="00D96655">
              <w:rPr>
                <w:rFonts w:eastAsiaTheme="minorEastAsia"/>
              </w:rPr>
              <w:t xml:space="preserve"> values: Akoranga, whanaungatanga, </w:t>
            </w:r>
            <w:proofErr w:type="spellStart"/>
            <w:r w:rsidRPr="00D96655">
              <w:rPr>
                <w:rFonts w:eastAsiaTheme="minorEastAsia"/>
              </w:rPr>
              <w:t>whai</w:t>
            </w:r>
            <w:proofErr w:type="spellEnd"/>
            <w:r w:rsidRPr="00D96655">
              <w:rPr>
                <w:rFonts w:eastAsiaTheme="minorEastAsia"/>
              </w:rPr>
              <w:t xml:space="preserve"> </w:t>
            </w:r>
            <w:proofErr w:type="spellStart"/>
            <w:r w:rsidRPr="00D96655">
              <w:rPr>
                <w:rFonts w:eastAsiaTheme="minorEastAsia"/>
              </w:rPr>
              <w:t>mātauranga</w:t>
            </w:r>
            <w:proofErr w:type="spellEnd"/>
            <w:r w:rsidRPr="00D96655">
              <w:rPr>
                <w:rFonts w:eastAsiaTheme="minorEastAsia"/>
              </w:rPr>
              <w:t xml:space="preserve">, </w:t>
            </w:r>
            <w:proofErr w:type="spellStart"/>
            <w:r w:rsidRPr="00D96655">
              <w:rPr>
                <w:rFonts w:eastAsiaTheme="minorEastAsia"/>
              </w:rPr>
              <w:t>kaitiakitanga</w:t>
            </w:r>
            <w:proofErr w:type="spellEnd"/>
            <w:r w:rsidRPr="00D96655">
              <w:rPr>
                <w:rFonts w:eastAsiaTheme="minorEastAsia"/>
              </w:rPr>
              <w:t xml:space="preserve">, </w:t>
            </w:r>
            <w:proofErr w:type="spellStart"/>
            <w:r w:rsidRPr="00D96655">
              <w:rPr>
                <w:rFonts w:eastAsiaTheme="minorEastAsia"/>
              </w:rPr>
              <w:t>manaakitanga</w:t>
            </w:r>
            <w:proofErr w:type="spellEnd"/>
            <w:r w:rsidRPr="00D96655">
              <w:rPr>
                <w:rFonts w:eastAsiaTheme="minorEastAsia"/>
              </w:rPr>
              <w:t xml:space="preserve">, </w:t>
            </w:r>
          </w:p>
          <w:p w14:paraId="55EEDC75" w14:textId="77777777" w:rsidR="00215E6A" w:rsidRPr="00D96655" w:rsidRDefault="00215E6A" w:rsidP="00215E6A">
            <w:pPr>
              <w:pStyle w:val="ListParagraph"/>
              <w:numPr>
                <w:ilvl w:val="0"/>
                <w:numId w:val="7"/>
              </w:numPr>
              <w:spacing w:after="120"/>
              <w:ind w:left="360" w:hanging="216"/>
              <w:rPr>
                <w:rFonts w:eastAsiaTheme="minorEastAsia"/>
              </w:rPr>
            </w:pPr>
            <w:r w:rsidRPr="00D96655">
              <w:rPr>
                <w:rFonts w:eastAsiaTheme="minorEastAsia"/>
              </w:rPr>
              <w:t xml:space="preserve">Principles of the Te </w:t>
            </w:r>
            <w:proofErr w:type="spellStart"/>
            <w:r w:rsidRPr="00D96655">
              <w:rPr>
                <w:rFonts w:eastAsiaTheme="minorEastAsia"/>
              </w:rPr>
              <w:t>Tiriti</w:t>
            </w:r>
            <w:proofErr w:type="spellEnd"/>
            <w:r w:rsidRPr="00D96655">
              <w:rPr>
                <w:rFonts w:eastAsiaTheme="minorEastAsia"/>
              </w:rPr>
              <w:t xml:space="preserve"> o Waitangi: </w:t>
            </w:r>
            <w:proofErr w:type="spellStart"/>
            <w:r w:rsidRPr="00D96655">
              <w:rPr>
                <w:rFonts w:eastAsiaTheme="minorEastAsia"/>
              </w:rPr>
              <w:t>āwanatanga</w:t>
            </w:r>
            <w:proofErr w:type="spellEnd"/>
            <w:r w:rsidRPr="00D96655">
              <w:rPr>
                <w:rFonts w:eastAsiaTheme="minorEastAsia"/>
              </w:rPr>
              <w:t xml:space="preserve">, </w:t>
            </w:r>
            <w:proofErr w:type="spellStart"/>
            <w:r w:rsidRPr="00D96655">
              <w:rPr>
                <w:rFonts w:eastAsiaTheme="minorEastAsia"/>
              </w:rPr>
              <w:t>Kōwhiringa</w:t>
            </w:r>
            <w:proofErr w:type="spellEnd"/>
            <w:r w:rsidRPr="00D96655">
              <w:rPr>
                <w:rFonts w:eastAsiaTheme="minorEastAsia"/>
              </w:rPr>
              <w:t xml:space="preserve">, </w:t>
            </w:r>
            <w:proofErr w:type="spellStart"/>
            <w:r w:rsidRPr="00D96655">
              <w:rPr>
                <w:rFonts w:eastAsiaTheme="minorEastAsia"/>
              </w:rPr>
              <w:t>Kaitiakitanga</w:t>
            </w:r>
            <w:proofErr w:type="spellEnd"/>
            <w:r w:rsidRPr="00D96655">
              <w:rPr>
                <w:rFonts w:eastAsiaTheme="minorEastAsia"/>
              </w:rPr>
              <w:t xml:space="preserve">, Rite Tahi, Rangatiratanga, Mahi Tahi, </w:t>
            </w:r>
            <w:proofErr w:type="spellStart"/>
            <w:r w:rsidRPr="00D96655">
              <w:rPr>
                <w:rFonts w:eastAsiaTheme="minorEastAsia"/>
              </w:rPr>
              <w:t>Whai</w:t>
            </w:r>
            <w:proofErr w:type="spellEnd"/>
            <w:r w:rsidRPr="00D96655">
              <w:rPr>
                <w:rFonts w:eastAsiaTheme="minorEastAsia"/>
              </w:rPr>
              <w:t xml:space="preserve"> Wāhi, </w:t>
            </w:r>
            <w:proofErr w:type="spellStart"/>
            <w:r w:rsidRPr="00D96655">
              <w:rPr>
                <w:rFonts w:eastAsiaTheme="minorEastAsia"/>
              </w:rPr>
              <w:t>Whakaoranga</w:t>
            </w:r>
            <w:proofErr w:type="spellEnd"/>
          </w:p>
        </w:tc>
      </w:tr>
      <w:tr w:rsidR="00215E6A" w:rsidRPr="00D96655" w14:paraId="3DFE1760" w14:textId="77777777" w:rsidTr="00254A27">
        <w:trPr>
          <w:trHeight w:val="3060"/>
          <w:jc w:val="center"/>
        </w:trPr>
        <w:tc>
          <w:tcPr>
            <w:tcW w:w="740" w:type="dxa"/>
            <w:vAlign w:val="center"/>
          </w:tcPr>
          <w:p w14:paraId="6EF95CDE" w14:textId="77777777" w:rsidR="00215E6A" w:rsidRPr="00D96655" w:rsidRDefault="00215E6A" w:rsidP="00254A27">
            <w:pPr>
              <w:rPr>
                <w:b/>
                <w:bCs/>
              </w:rPr>
            </w:pPr>
            <w:r w:rsidRPr="00D96655">
              <w:rPr>
                <w:b/>
                <w:bCs/>
              </w:rPr>
              <w:t>SC3</w:t>
            </w:r>
          </w:p>
        </w:tc>
        <w:tc>
          <w:tcPr>
            <w:tcW w:w="2175" w:type="dxa"/>
            <w:vAlign w:val="center"/>
          </w:tcPr>
          <w:p w14:paraId="6F6CA755" w14:textId="77777777" w:rsidR="00215E6A" w:rsidRPr="00D96655" w:rsidRDefault="00215E6A" w:rsidP="00254A27">
            <w:pPr>
              <w:rPr>
                <w:b/>
                <w:bCs/>
              </w:rPr>
            </w:pPr>
            <w:r w:rsidRPr="00D96655">
              <w:rPr>
                <w:b/>
                <w:bCs/>
              </w:rPr>
              <w:t>Research Design and Methodology </w:t>
            </w:r>
          </w:p>
        </w:tc>
        <w:tc>
          <w:tcPr>
            <w:tcW w:w="7560" w:type="dxa"/>
            <w:vAlign w:val="center"/>
          </w:tcPr>
          <w:p w14:paraId="365C5D4B" w14:textId="77777777" w:rsidR="00215E6A" w:rsidRPr="00D96655" w:rsidRDefault="00215E6A" w:rsidP="00254A27">
            <w:pPr>
              <w:spacing w:after="160" w:line="259" w:lineRule="auto"/>
            </w:pPr>
            <w:r w:rsidRPr="00D96655">
              <w:t>This category covers both research design and methodology. Research design provides a structured framework for conducting a study, while research methodology outlines the process through which researchers carry out their research. It guides the formulation of research problems and objectives, as well as the analysis and presentation of results based on the data collected during the study (</w:t>
            </w:r>
            <w:proofErr w:type="spellStart"/>
            <w:r w:rsidRPr="00D96655">
              <w:t>Sileyew</w:t>
            </w:r>
            <w:proofErr w:type="spellEnd"/>
            <w:r w:rsidRPr="00D96655">
              <w:t>, 2019).</w:t>
            </w:r>
          </w:p>
          <w:p w14:paraId="1073D200" w14:textId="77777777" w:rsidR="00215E6A" w:rsidRPr="00D96655" w:rsidRDefault="00215E6A" w:rsidP="00254A27">
            <w:pPr>
              <w:spacing w:after="160" w:line="259" w:lineRule="auto"/>
            </w:pPr>
            <w:r w:rsidRPr="00D96655">
              <w:rPr>
                <w:rFonts w:eastAsiaTheme="minorEastAsia"/>
                <w:lang w:val="en-US"/>
              </w:rPr>
              <w:t>Skills and considerations in the category may also sit under SC2 and SC4</w:t>
            </w:r>
          </w:p>
        </w:tc>
        <w:tc>
          <w:tcPr>
            <w:tcW w:w="4262" w:type="dxa"/>
            <w:vAlign w:val="center"/>
          </w:tcPr>
          <w:p w14:paraId="464C15FA" w14:textId="77777777" w:rsidR="00215E6A" w:rsidRPr="00D96655" w:rsidRDefault="00215E6A" w:rsidP="00215E6A">
            <w:pPr>
              <w:pStyle w:val="ListParagraph"/>
              <w:numPr>
                <w:ilvl w:val="0"/>
                <w:numId w:val="7"/>
              </w:numPr>
              <w:spacing w:after="120"/>
              <w:ind w:left="360" w:hanging="216"/>
            </w:pPr>
            <w:r w:rsidRPr="00D96655">
              <w:t>Familiarity with different types of research designs (e.g. qualitative, quantitative, mixed methods)</w:t>
            </w:r>
          </w:p>
          <w:p w14:paraId="6FF3F8B3" w14:textId="77777777" w:rsidR="00215E6A" w:rsidRPr="00D96655" w:rsidRDefault="00215E6A" w:rsidP="00215E6A">
            <w:pPr>
              <w:pStyle w:val="ListParagraph"/>
              <w:numPr>
                <w:ilvl w:val="0"/>
                <w:numId w:val="7"/>
              </w:numPr>
              <w:spacing w:after="120"/>
              <w:ind w:left="360" w:hanging="216"/>
            </w:pPr>
            <w:r w:rsidRPr="00D96655">
              <w:t>Research question ad hypothesis formulation</w:t>
            </w:r>
          </w:p>
          <w:p w14:paraId="7D98E5E8" w14:textId="77777777" w:rsidR="00215E6A" w:rsidRPr="00D96655" w:rsidRDefault="00215E6A" w:rsidP="00215E6A">
            <w:pPr>
              <w:pStyle w:val="ListParagraph"/>
              <w:numPr>
                <w:ilvl w:val="0"/>
                <w:numId w:val="7"/>
              </w:numPr>
              <w:spacing w:after="120"/>
              <w:ind w:left="360" w:hanging="216"/>
            </w:pPr>
            <w:r w:rsidRPr="00D96655">
              <w:t>Sampling technique selection and application (including tools)</w:t>
            </w:r>
          </w:p>
          <w:p w14:paraId="6DB8F149" w14:textId="77777777" w:rsidR="00215E6A" w:rsidRPr="00D96655" w:rsidRDefault="00215E6A" w:rsidP="00215E6A">
            <w:pPr>
              <w:pStyle w:val="ListParagraph"/>
              <w:numPr>
                <w:ilvl w:val="0"/>
                <w:numId w:val="7"/>
              </w:numPr>
              <w:spacing w:after="120"/>
              <w:ind w:left="360" w:hanging="216"/>
            </w:pPr>
            <w:r w:rsidRPr="00D96655">
              <w:t>Data collection method selection and implementation (Including tools)</w:t>
            </w:r>
          </w:p>
          <w:p w14:paraId="6B0D6F09" w14:textId="77777777" w:rsidR="00215E6A" w:rsidRPr="00D96655" w:rsidRDefault="00215E6A" w:rsidP="00215E6A">
            <w:pPr>
              <w:pStyle w:val="ListParagraph"/>
              <w:numPr>
                <w:ilvl w:val="0"/>
                <w:numId w:val="7"/>
              </w:numPr>
              <w:spacing w:after="120"/>
              <w:ind w:left="360" w:hanging="216"/>
            </w:pPr>
            <w:r w:rsidRPr="00D96655">
              <w:t>Data analysis technique selection and application (Including tools)</w:t>
            </w:r>
          </w:p>
          <w:p w14:paraId="7D698D4C" w14:textId="77777777" w:rsidR="00215E6A" w:rsidRPr="00D96655" w:rsidRDefault="00215E6A" w:rsidP="00215E6A">
            <w:pPr>
              <w:pStyle w:val="ListParagraph"/>
              <w:numPr>
                <w:ilvl w:val="0"/>
                <w:numId w:val="7"/>
              </w:numPr>
              <w:spacing w:after="120"/>
              <w:ind w:left="360" w:hanging="216"/>
            </w:pPr>
            <w:r w:rsidRPr="00D96655">
              <w:t>Data interpretation (Including tools)</w:t>
            </w:r>
          </w:p>
          <w:p w14:paraId="555EA581" w14:textId="77777777" w:rsidR="00215E6A" w:rsidRPr="00D96655" w:rsidRDefault="00215E6A" w:rsidP="00215E6A">
            <w:pPr>
              <w:pStyle w:val="ListParagraph"/>
              <w:numPr>
                <w:ilvl w:val="0"/>
                <w:numId w:val="7"/>
              </w:numPr>
              <w:spacing w:after="120"/>
              <w:ind w:left="360" w:hanging="216"/>
            </w:pPr>
            <w:r w:rsidRPr="00D96655">
              <w:t>Data sovereignty assurance</w:t>
            </w:r>
          </w:p>
          <w:p w14:paraId="2B001A4F" w14:textId="77777777" w:rsidR="00215E6A" w:rsidRPr="00D96655" w:rsidRDefault="00215E6A" w:rsidP="00215E6A">
            <w:pPr>
              <w:pStyle w:val="ListParagraph"/>
              <w:numPr>
                <w:ilvl w:val="0"/>
                <w:numId w:val="7"/>
              </w:numPr>
              <w:ind w:left="360" w:hanging="216"/>
            </w:pPr>
            <w:r w:rsidRPr="00D96655">
              <w:t>Data security and protection</w:t>
            </w:r>
          </w:p>
        </w:tc>
      </w:tr>
      <w:tr w:rsidR="00215E6A" w:rsidRPr="00D96655" w14:paraId="49FC0F6A" w14:textId="77777777" w:rsidTr="00254A27">
        <w:trPr>
          <w:trHeight w:val="2115"/>
          <w:jc w:val="center"/>
        </w:trPr>
        <w:tc>
          <w:tcPr>
            <w:tcW w:w="740" w:type="dxa"/>
            <w:shd w:val="clear" w:color="auto" w:fill="E2EFD9" w:themeFill="accent6" w:themeFillTint="33"/>
            <w:vAlign w:val="center"/>
          </w:tcPr>
          <w:p w14:paraId="57D38D13" w14:textId="77777777" w:rsidR="00215E6A" w:rsidRPr="00D96655" w:rsidRDefault="00215E6A" w:rsidP="00254A27">
            <w:pPr>
              <w:rPr>
                <w:b/>
                <w:bCs/>
              </w:rPr>
            </w:pPr>
            <w:r w:rsidRPr="00D96655">
              <w:rPr>
                <w:b/>
                <w:bCs/>
              </w:rPr>
              <w:t>SC4</w:t>
            </w:r>
          </w:p>
        </w:tc>
        <w:tc>
          <w:tcPr>
            <w:tcW w:w="2175" w:type="dxa"/>
            <w:shd w:val="clear" w:color="auto" w:fill="E2EFD9" w:themeFill="accent6" w:themeFillTint="33"/>
            <w:vAlign w:val="center"/>
          </w:tcPr>
          <w:p w14:paraId="69D7EB84" w14:textId="77777777" w:rsidR="00215E6A" w:rsidRPr="00D96655" w:rsidRDefault="00215E6A" w:rsidP="00254A27">
            <w:pPr>
              <w:rPr>
                <w:b/>
                <w:bCs/>
              </w:rPr>
            </w:pPr>
            <w:r w:rsidRPr="00D96655">
              <w:rPr>
                <w:b/>
                <w:bCs/>
              </w:rPr>
              <w:t>Research Ethics and Integrity</w:t>
            </w:r>
          </w:p>
        </w:tc>
        <w:tc>
          <w:tcPr>
            <w:tcW w:w="7560" w:type="dxa"/>
            <w:shd w:val="clear" w:color="auto" w:fill="E2EFD9" w:themeFill="accent6" w:themeFillTint="33"/>
            <w:vAlign w:val="center"/>
          </w:tcPr>
          <w:p w14:paraId="1B730A16" w14:textId="77777777" w:rsidR="00215E6A" w:rsidRPr="00D96655" w:rsidRDefault="00215E6A" w:rsidP="00254A27">
            <w:pPr>
              <w:spacing w:after="160" w:line="259" w:lineRule="auto"/>
            </w:pPr>
            <w:r w:rsidRPr="00D96655">
              <w:t>This category underscores the importance of research integrity and ethics. Research integrity refers to behaviours and practices in research that align with professional standards, while research ethics applies moral principles thorough the research process (</w:t>
            </w:r>
            <w:proofErr w:type="spellStart"/>
            <w:r w:rsidRPr="00D96655">
              <w:t>Komić</w:t>
            </w:r>
            <w:proofErr w:type="spellEnd"/>
            <w:r w:rsidRPr="00D96655">
              <w:t xml:space="preserve"> et al., 2015). Together, these concepts ensure that researchers adhere to legal, ethical, and professional frameworks while upholding fundamental values in their work (Marušić, 2023). </w:t>
            </w:r>
          </w:p>
          <w:p w14:paraId="2756AD62" w14:textId="77777777" w:rsidR="00215E6A" w:rsidRPr="00D96655" w:rsidRDefault="00215E6A" w:rsidP="00254A27"/>
          <w:p w14:paraId="434655B4" w14:textId="77777777" w:rsidR="00215E6A" w:rsidRPr="00D96655" w:rsidRDefault="00215E6A" w:rsidP="00254A27">
            <w:r w:rsidRPr="00D96655">
              <w:rPr>
                <w:rFonts w:eastAsiaTheme="minorEastAsia"/>
                <w:lang w:val="en-US"/>
              </w:rPr>
              <w:t>Skills and considerations in the category may also sit under SC5 and SC3</w:t>
            </w:r>
          </w:p>
        </w:tc>
        <w:tc>
          <w:tcPr>
            <w:tcW w:w="4262" w:type="dxa"/>
            <w:shd w:val="clear" w:color="auto" w:fill="E2EFD9" w:themeFill="accent6" w:themeFillTint="33"/>
            <w:vAlign w:val="center"/>
          </w:tcPr>
          <w:p w14:paraId="7C52B0B4" w14:textId="77777777" w:rsidR="00215E6A" w:rsidRPr="00D96655" w:rsidRDefault="00215E6A" w:rsidP="00215E6A">
            <w:pPr>
              <w:pStyle w:val="ListParagraph"/>
              <w:numPr>
                <w:ilvl w:val="0"/>
                <w:numId w:val="7"/>
              </w:numPr>
              <w:spacing w:after="120"/>
              <w:ind w:left="360" w:hanging="216"/>
            </w:pPr>
            <w:r w:rsidRPr="00D96655">
              <w:t>Understanding of basic principles of research ethics and integrity</w:t>
            </w:r>
          </w:p>
          <w:p w14:paraId="0B51F330" w14:textId="77777777" w:rsidR="00215E6A" w:rsidRPr="00D96655" w:rsidRDefault="00215E6A" w:rsidP="00215E6A">
            <w:pPr>
              <w:pStyle w:val="ListParagraph"/>
              <w:numPr>
                <w:ilvl w:val="0"/>
                <w:numId w:val="7"/>
              </w:numPr>
              <w:spacing w:after="120"/>
              <w:ind w:left="360" w:hanging="216"/>
            </w:pPr>
            <w:r w:rsidRPr="00D96655">
              <w:t>Adherence to Ethical guidelines of the University</w:t>
            </w:r>
          </w:p>
          <w:p w14:paraId="61EB2D69" w14:textId="77777777" w:rsidR="00215E6A" w:rsidRPr="00D96655" w:rsidRDefault="00215E6A" w:rsidP="00215E6A">
            <w:pPr>
              <w:pStyle w:val="ListParagraph"/>
              <w:numPr>
                <w:ilvl w:val="0"/>
                <w:numId w:val="7"/>
              </w:numPr>
              <w:spacing w:after="120"/>
              <w:ind w:left="360" w:hanging="216"/>
            </w:pPr>
            <w:r w:rsidRPr="00D96655">
              <w:t>Compliance with Legal and institutional standards of the University</w:t>
            </w:r>
          </w:p>
          <w:p w14:paraId="1639FF19" w14:textId="77777777" w:rsidR="00215E6A" w:rsidRPr="00D96655" w:rsidRDefault="00215E6A" w:rsidP="00215E6A">
            <w:pPr>
              <w:pStyle w:val="ListParagraph"/>
              <w:numPr>
                <w:ilvl w:val="0"/>
                <w:numId w:val="7"/>
              </w:numPr>
              <w:spacing w:after="120"/>
              <w:ind w:left="360" w:hanging="216"/>
            </w:pPr>
            <w:r w:rsidRPr="00D96655">
              <w:t>Ethical decision-making for responsible research</w:t>
            </w:r>
          </w:p>
        </w:tc>
      </w:tr>
      <w:tr w:rsidR="00215E6A" w:rsidRPr="00D96655" w14:paraId="30A69E1E" w14:textId="77777777" w:rsidTr="00254A27">
        <w:trPr>
          <w:trHeight w:val="274"/>
          <w:jc w:val="center"/>
        </w:trPr>
        <w:tc>
          <w:tcPr>
            <w:tcW w:w="740" w:type="dxa"/>
            <w:vAlign w:val="center"/>
          </w:tcPr>
          <w:p w14:paraId="65E82B39" w14:textId="77777777" w:rsidR="00215E6A" w:rsidRPr="00D96655" w:rsidRDefault="00215E6A" w:rsidP="00254A27">
            <w:pPr>
              <w:rPr>
                <w:b/>
                <w:bCs/>
              </w:rPr>
            </w:pPr>
            <w:r w:rsidRPr="00D96655">
              <w:rPr>
                <w:b/>
                <w:bCs/>
              </w:rPr>
              <w:t>SC5</w:t>
            </w:r>
          </w:p>
        </w:tc>
        <w:tc>
          <w:tcPr>
            <w:tcW w:w="2175" w:type="dxa"/>
            <w:vAlign w:val="center"/>
          </w:tcPr>
          <w:p w14:paraId="16CF221F" w14:textId="77777777" w:rsidR="00215E6A" w:rsidRPr="00D96655" w:rsidRDefault="00215E6A" w:rsidP="00254A27">
            <w:pPr>
              <w:rPr>
                <w:b/>
                <w:bCs/>
              </w:rPr>
            </w:pPr>
            <w:r w:rsidRPr="00D96655">
              <w:rPr>
                <w:b/>
                <w:bCs/>
              </w:rPr>
              <w:t>Academic and Professional Writing</w:t>
            </w:r>
          </w:p>
        </w:tc>
        <w:tc>
          <w:tcPr>
            <w:tcW w:w="7560" w:type="dxa"/>
            <w:vAlign w:val="center"/>
          </w:tcPr>
          <w:p w14:paraId="235CAEC5" w14:textId="77777777" w:rsidR="00215E6A" w:rsidRPr="00D96655" w:rsidRDefault="00215E6A" w:rsidP="00254A27">
            <w:pPr>
              <w:spacing w:after="160" w:line="259" w:lineRule="auto"/>
            </w:pPr>
            <w:r w:rsidRPr="00D96655">
              <w:t>This category highlights the ability to write effectively for diverse audiences and platforms, whether aiming for academic or societal impact. Academic writing is a unique form of storytelling characterized by formality, conciseness, clarity, and structured organization—features that distinguish it from non-academic writing (</w:t>
            </w:r>
            <w:proofErr w:type="spellStart"/>
            <w:r w:rsidRPr="00D96655">
              <w:t>Huizingh</w:t>
            </w:r>
            <w:proofErr w:type="spellEnd"/>
            <w:r w:rsidRPr="00D96655">
              <w:t xml:space="preserve">, 2023). </w:t>
            </w:r>
          </w:p>
          <w:p w14:paraId="35A97530" w14:textId="77777777" w:rsidR="00215E6A" w:rsidRPr="00D96655" w:rsidRDefault="00215E6A" w:rsidP="00254A27">
            <w:pPr>
              <w:contextualSpacing/>
            </w:pPr>
            <w:r w:rsidRPr="00D96655">
              <w:t>Mastering both styles enables effective communication across different contexts, broadening the reach and influence of one’s work while ensuring that complex ideas remain accessible to the intended audience. </w:t>
            </w:r>
          </w:p>
          <w:p w14:paraId="41018010" w14:textId="77777777" w:rsidR="00215E6A" w:rsidRPr="00D96655" w:rsidRDefault="00215E6A" w:rsidP="00254A27">
            <w:pPr>
              <w:contextualSpacing/>
            </w:pPr>
          </w:p>
          <w:p w14:paraId="719AC68B" w14:textId="77777777" w:rsidR="00215E6A" w:rsidRPr="00D96655" w:rsidRDefault="00215E6A" w:rsidP="00254A27">
            <w:pPr>
              <w:contextualSpacing/>
              <w:rPr>
                <w:rFonts w:eastAsiaTheme="minorEastAsia"/>
                <w:lang w:val="en-US"/>
              </w:rPr>
            </w:pPr>
            <w:r w:rsidRPr="00D96655">
              <w:rPr>
                <w:rFonts w:eastAsiaTheme="minorEastAsia"/>
                <w:lang w:val="en-US"/>
              </w:rPr>
              <w:t>Skills and considerations in the category may also sit under SC4 and SC7</w:t>
            </w:r>
          </w:p>
        </w:tc>
        <w:tc>
          <w:tcPr>
            <w:tcW w:w="4262" w:type="dxa"/>
            <w:vAlign w:val="center"/>
          </w:tcPr>
          <w:p w14:paraId="59BFAF71" w14:textId="77777777" w:rsidR="00215E6A" w:rsidRPr="00D96655" w:rsidRDefault="00215E6A" w:rsidP="00215E6A">
            <w:pPr>
              <w:pStyle w:val="ListParagraph"/>
              <w:numPr>
                <w:ilvl w:val="0"/>
                <w:numId w:val="7"/>
              </w:numPr>
              <w:spacing w:after="120"/>
              <w:ind w:left="360" w:hanging="216"/>
            </w:pPr>
            <w:r w:rsidRPr="00D96655">
              <w:t xml:space="preserve">Purpose and audience identification </w:t>
            </w:r>
          </w:p>
          <w:p w14:paraId="29BA6016" w14:textId="77777777" w:rsidR="00215E6A" w:rsidRPr="00D96655" w:rsidRDefault="00215E6A" w:rsidP="00215E6A">
            <w:pPr>
              <w:pStyle w:val="ListParagraph"/>
              <w:numPr>
                <w:ilvl w:val="0"/>
                <w:numId w:val="7"/>
              </w:numPr>
              <w:spacing w:after="120"/>
              <w:ind w:left="360" w:hanging="216"/>
            </w:pPr>
            <w:r w:rsidRPr="00D96655">
              <w:t xml:space="preserve">Adapting writing for audience and purpose </w:t>
            </w:r>
          </w:p>
          <w:p w14:paraId="6E050441" w14:textId="77777777" w:rsidR="00215E6A" w:rsidRPr="00D96655" w:rsidRDefault="00215E6A" w:rsidP="00215E6A">
            <w:pPr>
              <w:pStyle w:val="ListParagraph"/>
              <w:numPr>
                <w:ilvl w:val="0"/>
                <w:numId w:val="7"/>
              </w:numPr>
              <w:spacing w:after="120"/>
              <w:ind w:left="360" w:hanging="216"/>
            </w:pPr>
            <w:r w:rsidRPr="00D96655">
              <w:t xml:space="preserve">Planning and conceptualization (e.g. structuring and organizing) </w:t>
            </w:r>
          </w:p>
          <w:p w14:paraId="518130C4" w14:textId="77777777" w:rsidR="00215E6A" w:rsidRPr="00D96655" w:rsidRDefault="00215E6A" w:rsidP="00215E6A">
            <w:pPr>
              <w:pStyle w:val="ListParagraph"/>
              <w:numPr>
                <w:ilvl w:val="0"/>
                <w:numId w:val="7"/>
              </w:numPr>
              <w:spacing w:after="120"/>
              <w:ind w:left="360" w:hanging="216"/>
            </w:pPr>
            <w:r w:rsidRPr="00D96655">
              <w:t xml:space="preserve">Idea drafting and development  </w:t>
            </w:r>
          </w:p>
          <w:p w14:paraId="6438B27B" w14:textId="77777777" w:rsidR="00215E6A" w:rsidRPr="00D96655" w:rsidRDefault="00215E6A" w:rsidP="00215E6A">
            <w:pPr>
              <w:pStyle w:val="ListParagraph"/>
              <w:numPr>
                <w:ilvl w:val="0"/>
                <w:numId w:val="7"/>
              </w:numPr>
              <w:spacing w:after="120"/>
              <w:ind w:left="360" w:hanging="216"/>
            </w:pPr>
            <w:r w:rsidRPr="00D96655">
              <w:t>Proofreading</w:t>
            </w:r>
          </w:p>
          <w:p w14:paraId="6E240C5F" w14:textId="77777777" w:rsidR="00215E6A" w:rsidRPr="00D96655" w:rsidRDefault="00215E6A" w:rsidP="00215E6A">
            <w:pPr>
              <w:pStyle w:val="ListParagraph"/>
              <w:numPr>
                <w:ilvl w:val="0"/>
                <w:numId w:val="7"/>
              </w:numPr>
              <w:spacing w:after="120"/>
              <w:ind w:left="360" w:hanging="216"/>
            </w:pPr>
            <w:r w:rsidRPr="00D96655">
              <w:t xml:space="preserve">Editing </w:t>
            </w:r>
          </w:p>
          <w:p w14:paraId="77FB83BB" w14:textId="77777777" w:rsidR="00215E6A" w:rsidRPr="00D96655" w:rsidRDefault="00215E6A" w:rsidP="00215E6A">
            <w:pPr>
              <w:pStyle w:val="ListParagraph"/>
              <w:numPr>
                <w:ilvl w:val="0"/>
                <w:numId w:val="7"/>
              </w:numPr>
              <w:spacing w:after="120"/>
              <w:ind w:left="360" w:hanging="216"/>
            </w:pPr>
            <w:r w:rsidRPr="00D96655">
              <w:t>Paraphrasing, citation, and referencing</w:t>
            </w:r>
          </w:p>
          <w:p w14:paraId="06F99A71" w14:textId="77777777" w:rsidR="00215E6A" w:rsidRPr="00D96655" w:rsidRDefault="00215E6A" w:rsidP="00215E6A">
            <w:pPr>
              <w:pStyle w:val="ListParagraph"/>
              <w:numPr>
                <w:ilvl w:val="0"/>
                <w:numId w:val="7"/>
              </w:numPr>
              <w:spacing w:after="120"/>
              <w:ind w:left="360" w:hanging="216"/>
            </w:pPr>
            <w:r w:rsidRPr="00D96655">
              <w:t>Writing tools and resources</w:t>
            </w:r>
          </w:p>
        </w:tc>
      </w:tr>
      <w:tr w:rsidR="00215E6A" w:rsidRPr="00D96655" w14:paraId="1FD1F8A2" w14:textId="77777777" w:rsidTr="00254A27">
        <w:trPr>
          <w:trHeight w:val="3210"/>
          <w:jc w:val="center"/>
        </w:trPr>
        <w:tc>
          <w:tcPr>
            <w:tcW w:w="740" w:type="dxa"/>
            <w:shd w:val="clear" w:color="auto" w:fill="E2EFD9" w:themeFill="accent6" w:themeFillTint="33"/>
            <w:vAlign w:val="center"/>
          </w:tcPr>
          <w:p w14:paraId="030CC02A" w14:textId="77777777" w:rsidR="00215E6A" w:rsidRPr="00D96655" w:rsidRDefault="00215E6A" w:rsidP="00254A27">
            <w:pPr>
              <w:rPr>
                <w:b/>
                <w:bCs/>
              </w:rPr>
            </w:pPr>
            <w:r w:rsidRPr="00D96655">
              <w:rPr>
                <w:b/>
                <w:bCs/>
              </w:rPr>
              <w:lastRenderedPageBreak/>
              <w:t>SC6</w:t>
            </w:r>
          </w:p>
        </w:tc>
        <w:tc>
          <w:tcPr>
            <w:tcW w:w="2175" w:type="dxa"/>
            <w:shd w:val="clear" w:color="auto" w:fill="E2EFD9" w:themeFill="accent6" w:themeFillTint="33"/>
            <w:vAlign w:val="center"/>
          </w:tcPr>
          <w:p w14:paraId="1B34C7E1" w14:textId="77777777" w:rsidR="00215E6A" w:rsidRPr="00D96655" w:rsidRDefault="00215E6A" w:rsidP="00254A27">
            <w:pPr>
              <w:rPr>
                <w:b/>
                <w:bCs/>
              </w:rPr>
            </w:pPr>
            <w:r w:rsidRPr="00D96655">
              <w:rPr>
                <w:b/>
                <w:bCs/>
              </w:rPr>
              <w:t>Literature Analysis and Academic Reading</w:t>
            </w:r>
          </w:p>
        </w:tc>
        <w:tc>
          <w:tcPr>
            <w:tcW w:w="7560" w:type="dxa"/>
            <w:shd w:val="clear" w:color="auto" w:fill="E2EFD9" w:themeFill="accent6" w:themeFillTint="33"/>
            <w:vAlign w:val="center"/>
          </w:tcPr>
          <w:p w14:paraId="52E4B431" w14:textId="77777777" w:rsidR="00215E6A" w:rsidRPr="00D96655" w:rsidRDefault="00215E6A" w:rsidP="00254A27">
            <w:pPr>
              <w:spacing w:after="160" w:line="259" w:lineRule="auto"/>
            </w:pPr>
            <w:r w:rsidRPr="00D96655">
              <w:t xml:space="preserve">This category encompasses the idea of effective reading, which involves reading with purpose, planning, and sustained focus. It requires organization, active engagement in searching for meaning, and the ability to integrate new information with prior knowledge. Effective readers take a proactive approach, retaining key details and deriving insights from the content as they progress (Pritchard, 2008).  </w:t>
            </w:r>
          </w:p>
          <w:p w14:paraId="2AE1A826" w14:textId="77777777" w:rsidR="00215E6A" w:rsidRPr="00D96655" w:rsidRDefault="00215E6A" w:rsidP="00254A27">
            <w:pPr>
              <w:spacing w:after="20"/>
              <w:contextualSpacing/>
            </w:pPr>
            <w:r w:rsidRPr="00D96655">
              <w:t>In addition, it includes conducting literature reviews, which are vital for: identifying existing research on a given topic, recognizing trends or patterns within a field, summarizing empirical findings to support evidence-based practice, developing new frameworks and theories, and pinpointing areas needing further investigation (Paré et al., 2015). A literature review may be part of a broader research project or a standalone research endeavour (Turner, 2023).</w:t>
            </w:r>
          </w:p>
        </w:tc>
        <w:tc>
          <w:tcPr>
            <w:tcW w:w="4262" w:type="dxa"/>
            <w:shd w:val="clear" w:color="auto" w:fill="E2EFD9" w:themeFill="accent6" w:themeFillTint="33"/>
            <w:vAlign w:val="center"/>
          </w:tcPr>
          <w:p w14:paraId="2DFC864F" w14:textId="77777777" w:rsidR="00215E6A" w:rsidRPr="00D96655" w:rsidRDefault="00215E6A" w:rsidP="00254A27">
            <w:pPr>
              <w:pStyle w:val="ListParagraph"/>
              <w:spacing w:after="120"/>
              <w:ind w:left="144"/>
              <w:rPr>
                <w:u w:val="single"/>
              </w:rPr>
            </w:pPr>
            <w:r w:rsidRPr="00D96655">
              <w:rPr>
                <w:u w:val="single"/>
              </w:rPr>
              <w:t>Literature analysis</w:t>
            </w:r>
          </w:p>
          <w:p w14:paraId="4BB949A2" w14:textId="77777777" w:rsidR="00215E6A" w:rsidRPr="00D96655" w:rsidRDefault="00215E6A" w:rsidP="00215E6A">
            <w:pPr>
              <w:pStyle w:val="ListParagraph"/>
              <w:numPr>
                <w:ilvl w:val="0"/>
                <w:numId w:val="7"/>
              </w:numPr>
              <w:spacing w:after="120"/>
              <w:ind w:left="360" w:hanging="216"/>
            </w:pPr>
            <w:r w:rsidRPr="00D96655">
              <w:t>Understanding of types of reviews</w:t>
            </w:r>
          </w:p>
          <w:p w14:paraId="1E4AA9E4" w14:textId="77777777" w:rsidR="00215E6A" w:rsidRPr="00D96655" w:rsidRDefault="00215E6A" w:rsidP="00215E6A">
            <w:pPr>
              <w:pStyle w:val="ListParagraph"/>
              <w:numPr>
                <w:ilvl w:val="0"/>
                <w:numId w:val="7"/>
              </w:numPr>
              <w:spacing w:after="120"/>
              <w:ind w:left="360" w:hanging="216"/>
            </w:pPr>
            <w:r w:rsidRPr="00D96655">
              <w:t>Understanding of the literature review process (e.g. defining focus, literature searching, evaluating and organizing literature, analysing findings)</w:t>
            </w:r>
          </w:p>
          <w:p w14:paraId="316441BB" w14:textId="77777777" w:rsidR="00215E6A" w:rsidRPr="00D96655" w:rsidRDefault="00215E6A" w:rsidP="00215E6A">
            <w:pPr>
              <w:pStyle w:val="ListParagraph"/>
              <w:numPr>
                <w:ilvl w:val="0"/>
                <w:numId w:val="7"/>
              </w:numPr>
              <w:spacing w:after="120"/>
              <w:ind w:left="360" w:hanging="216"/>
            </w:pPr>
            <w:r w:rsidRPr="00D96655">
              <w:t>Literature review tools</w:t>
            </w:r>
          </w:p>
          <w:p w14:paraId="6E3A7BB9" w14:textId="77777777" w:rsidR="00215E6A" w:rsidRPr="00D96655" w:rsidRDefault="00215E6A" w:rsidP="00254A27">
            <w:pPr>
              <w:pStyle w:val="ListParagraph"/>
              <w:spacing w:after="120"/>
              <w:ind w:left="144"/>
              <w:rPr>
                <w:u w:val="single"/>
              </w:rPr>
            </w:pPr>
            <w:r w:rsidRPr="00D96655">
              <w:rPr>
                <w:u w:val="single"/>
              </w:rPr>
              <w:t>Academic Reading</w:t>
            </w:r>
          </w:p>
          <w:p w14:paraId="54A94B69" w14:textId="77777777" w:rsidR="00215E6A" w:rsidRPr="00D96655" w:rsidRDefault="00215E6A" w:rsidP="00215E6A">
            <w:pPr>
              <w:pStyle w:val="ListParagraph"/>
              <w:numPr>
                <w:ilvl w:val="0"/>
                <w:numId w:val="7"/>
              </w:numPr>
              <w:spacing w:after="120"/>
              <w:ind w:left="360" w:hanging="216"/>
            </w:pPr>
            <w:r w:rsidRPr="00D96655">
              <w:t xml:space="preserve">Reading strategies (e.g. skimming, scanning, speed reading, note-taking) </w:t>
            </w:r>
          </w:p>
          <w:p w14:paraId="7DBEE7DD" w14:textId="77777777" w:rsidR="00215E6A" w:rsidRPr="00D96655" w:rsidRDefault="00215E6A" w:rsidP="00215E6A">
            <w:pPr>
              <w:pStyle w:val="ListParagraph"/>
              <w:numPr>
                <w:ilvl w:val="0"/>
                <w:numId w:val="7"/>
              </w:numPr>
              <w:spacing w:after="120"/>
              <w:ind w:left="360" w:hanging="216"/>
            </w:pPr>
            <w:r w:rsidRPr="00D96655">
              <w:t>Reading tools and resources (e.g. apps, audio books, text-to-speed software)</w:t>
            </w:r>
          </w:p>
        </w:tc>
      </w:tr>
      <w:tr w:rsidR="00215E6A" w:rsidRPr="00D96655" w14:paraId="14ADF4D5" w14:textId="77777777" w:rsidTr="00254A27">
        <w:trPr>
          <w:trHeight w:val="300"/>
          <w:jc w:val="center"/>
        </w:trPr>
        <w:tc>
          <w:tcPr>
            <w:tcW w:w="740" w:type="dxa"/>
            <w:vAlign w:val="center"/>
          </w:tcPr>
          <w:p w14:paraId="553C0F54" w14:textId="77777777" w:rsidR="00215E6A" w:rsidRPr="00D96655" w:rsidRDefault="00215E6A" w:rsidP="00254A27">
            <w:pPr>
              <w:rPr>
                <w:b/>
                <w:bCs/>
              </w:rPr>
            </w:pPr>
            <w:r w:rsidRPr="00D96655">
              <w:rPr>
                <w:b/>
                <w:bCs/>
              </w:rPr>
              <w:t>SC7</w:t>
            </w:r>
          </w:p>
        </w:tc>
        <w:tc>
          <w:tcPr>
            <w:tcW w:w="2175" w:type="dxa"/>
            <w:vAlign w:val="center"/>
          </w:tcPr>
          <w:p w14:paraId="7C24F75B" w14:textId="77777777" w:rsidR="00215E6A" w:rsidRPr="00D96655" w:rsidRDefault="00215E6A" w:rsidP="00254A27">
            <w:pPr>
              <w:rPr>
                <w:b/>
                <w:bCs/>
              </w:rPr>
            </w:pPr>
            <w:r w:rsidRPr="00D96655">
              <w:rPr>
                <w:b/>
                <w:bCs/>
              </w:rPr>
              <w:t>Impact and Mobilization</w:t>
            </w:r>
          </w:p>
        </w:tc>
        <w:tc>
          <w:tcPr>
            <w:tcW w:w="7560" w:type="dxa"/>
            <w:vAlign w:val="center"/>
          </w:tcPr>
          <w:p w14:paraId="31326934" w14:textId="77777777" w:rsidR="00215E6A" w:rsidRPr="00D96655" w:rsidRDefault="00215E6A" w:rsidP="00254A27">
            <w:pPr>
              <w:spacing w:after="160" w:line="259" w:lineRule="auto"/>
            </w:pPr>
            <w:r w:rsidRPr="00D96655">
              <w:t>This category pertains to the concept of ‘knowledge mobilization’, which involves enhancing the use of research-generated knowledge. It includes the dissemination, transfer, and exchange of knowledge (Ahmad et al., 2022). Additionally, it focuses on applying this knowledge within specific contexts and supporting changes in professional behaviour (</w:t>
            </w:r>
            <w:proofErr w:type="spellStart"/>
            <w:r w:rsidRPr="00D96655">
              <w:t>Ziam</w:t>
            </w:r>
            <w:proofErr w:type="spellEnd"/>
            <w:r w:rsidRPr="00D96655">
              <w:t xml:space="preserve"> et al., 2024). </w:t>
            </w:r>
          </w:p>
        </w:tc>
        <w:tc>
          <w:tcPr>
            <w:tcW w:w="4262" w:type="dxa"/>
            <w:vAlign w:val="center"/>
          </w:tcPr>
          <w:p w14:paraId="75FAAF34" w14:textId="77777777" w:rsidR="00215E6A" w:rsidRPr="00D96655" w:rsidRDefault="00215E6A" w:rsidP="00215E6A">
            <w:pPr>
              <w:pStyle w:val="ListParagraph"/>
              <w:numPr>
                <w:ilvl w:val="0"/>
                <w:numId w:val="7"/>
              </w:numPr>
              <w:spacing w:after="120"/>
              <w:ind w:left="360" w:hanging="216"/>
            </w:pPr>
            <w:r w:rsidRPr="00D96655">
              <w:t xml:space="preserve">Engagement strategies and techniques </w:t>
            </w:r>
          </w:p>
          <w:p w14:paraId="2D204A63" w14:textId="77777777" w:rsidR="00215E6A" w:rsidRPr="00D96655" w:rsidRDefault="00215E6A" w:rsidP="00215E6A">
            <w:pPr>
              <w:pStyle w:val="ListParagraph"/>
              <w:numPr>
                <w:ilvl w:val="0"/>
                <w:numId w:val="7"/>
              </w:numPr>
              <w:spacing w:after="120"/>
              <w:ind w:left="360" w:hanging="216"/>
            </w:pPr>
            <w:r w:rsidRPr="00D96655">
              <w:t xml:space="preserve">Stakeholder analysis and mapping </w:t>
            </w:r>
          </w:p>
          <w:p w14:paraId="4AD29267" w14:textId="77777777" w:rsidR="00215E6A" w:rsidRPr="00D96655" w:rsidRDefault="00215E6A" w:rsidP="00215E6A">
            <w:pPr>
              <w:pStyle w:val="ListParagraph"/>
              <w:numPr>
                <w:ilvl w:val="0"/>
                <w:numId w:val="7"/>
              </w:numPr>
              <w:spacing w:after="120"/>
              <w:ind w:left="360" w:hanging="216"/>
            </w:pPr>
            <w:r w:rsidRPr="00D96655">
              <w:t>Dissemination of content through academic publications (e.g., journal articles, books) </w:t>
            </w:r>
          </w:p>
          <w:p w14:paraId="0B475C7A" w14:textId="77777777" w:rsidR="00215E6A" w:rsidRPr="00D96655" w:rsidRDefault="00215E6A" w:rsidP="00215E6A">
            <w:pPr>
              <w:pStyle w:val="ListParagraph"/>
              <w:numPr>
                <w:ilvl w:val="0"/>
                <w:numId w:val="7"/>
              </w:numPr>
              <w:spacing w:after="120"/>
              <w:ind w:left="360" w:hanging="216"/>
            </w:pPr>
            <w:r w:rsidRPr="00D96655">
              <w:t>Dissemination of content in non-academic venues  </w:t>
            </w:r>
          </w:p>
          <w:p w14:paraId="4BB36CBE" w14:textId="77777777" w:rsidR="00215E6A" w:rsidRPr="00D96655" w:rsidRDefault="00215E6A" w:rsidP="00215E6A">
            <w:pPr>
              <w:pStyle w:val="ListParagraph"/>
              <w:numPr>
                <w:ilvl w:val="0"/>
                <w:numId w:val="7"/>
              </w:numPr>
              <w:spacing w:after="120"/>
              <w:ind w:left="360" w:hanging="216"/>
            </w:pPr>
            <w:r w:rsidRPr="00D96655">
              <w:t>Oral presentation skills</w:t>
            </w:r>
          </w:p>
          <w:p w14:paraId="3D5F863F" w14:textId="77777777" w:rsidR="00215E6A" w:rsidRPr="00D96655" w:rsidRDefault="00215E6A" w:rsidP="00215E6A">
            <w:pPr>
              <w:pStyle w:val="ListParagraph"/>
              <w:numPr>
                <w:ilvl w:val="0"/>
                <w:numId w:val="7"/>
              </w:numPr>
              <w:ind w:left="360" w:hanging="216"/>
            </w:pPr>
            <w:r w:rsidRPr="00D96655">
              <w:t>Turning research innovations into market opportunities</w:t>
            </w:r>
          </w:p>
        </w:tc>
      </w:tr>
      <w:tr w:rsidR="00215E6A" w:rsidRPr="00D96655" w14:paraId="4D769135" w14:textId="77777777" w:rsidTr="00254A27">
        <w:trPr>
          <w:trHeight w:val="300"/>
          <w:jc w:val="center"/>
        </w:trPr>
        <w:tc>
          <w:tcPr>
            <w:tcW w:w="740" w:type="dxa"/>
            <w:shd w:val="clear" w:color="auto" w:fill="E2EFD9" w:themeFill="accent6" w:themeFillTint="33"/>
            <w:vAlign w:val="center"/>
          </w:tcPr>
          <w:p w14:paraId="70964FF7" w14:textId="77777777" w:rsidR="00215E6A" w:rsidRPr="00D96655" w:rsidRDefault="00215E6A" w:rsidP="00254A27">
            <w:pPr>
              <w:rPr>
                <w:b/>
                <w:bCs/>
              </w:rPr>
            </w:pPr>
            <w:r w:rsidRPr="00D96655">
              <w:rPr>
                <w:b/>
                <w:bCs/>
              </w:rPr>
              <w:t>SC8</w:t>
            </w:r>
          </w:p>
        </w:tc>
        <w:tc>
          <w:tcPr>
            <w:tcW w:w="2175" w:type="dxa"/>
            <w:shd w:val="clear" w:color="auto" w:fill="E2EFD9" w:themeFill="accent6" w:themeFillTint="33"/>
            <w:vAlign w:val="center"/>
          </w:tcPr>
          <w:p w14:paraId="5186A699" w14:textId="77777777" w:rsidR="00215E6A" w:rsidRPr="00D96655" w:rsidRDefault="00215E6A" w:rsidP="00254A27">
            <w:pPr>
              <w:rPr>
                <w:b/>
                <w:bCs/>
              </w:rPr>
            </w:pPr>
            <w:r w:rsidRPr="00D96655">
              <w:rPr>
                <w:b/>
                <w:bCs/>
              </w:rPr>
              <w:t>Research Project Management</w:t>
            </w:r>
          </w:p>
        </w:tc>
        <w:tc>
          <w:tcPr>
            <w:tcW w:w="7560" w:type="dxa"/>
            <w:shd w:val="clear" w:color="auto" w:fill="E2EFD9" w:themeFill="accent6" w:themeFillTint="33"/>
            <w:vAlign w:val="center"/>
          </w:tcPr>
          <w:p w14:paraId="35B21CC4" w14:textId="77777777" w:rsidR="00215E6A" w:rsidRPr="00D96655" w:rsidRDefault="00215E6A" w:rsidP="00254A27">
            <w:pPr>
              <w:spacing w:after="160" w:line="259" w:lineRule="auto"/>
            </w:pPr>
            <w:r w:rsidRPr="00D96655">
              <w:t xml:space="preserve">Refers to effectively overseeing and directing the various aspects of a research project to ensure its successful completion. This includes charting the course of the research project, determining the required resources to meet the project's objectives, and mitigating risks throughout the process (van Dongen, 2022). </w:t>
            </w:r>
          </w:p>
          <w:p w14:paraId="0D06553C" w14:textId="77777777" w:rsidR="00215E6A" w:rsidRPr="00D96655" w:rsidRDefault="00215E6A" w:rsidP="00254A27">
            <w:pPr>
              <w:spacing w:after="160" w:line="259" w:lineRule="auto"/>
            </w:pPr>
            <w:r w:rsidRPr="00D96655">
              <w:rPr>
                <w:rFonts w:eastAsiaTheme="minorEastAsia"/>
                <w:lang w:val="en-US"/>
              </w:rPr>
              <w:t>Skills and considerations in the category may also sit under SC10</w:t>
            </w:r>
          </w:p>
        </w:tc>
        <w:tc>
          <w:tcPr>
            <w:tcW w:w="4262" w:type="dxa"/>
            <w:shd w:val="clear" w:color="auto" w:fill="E2EFD9" w:themeFill="accent6" w:themeFillTint="33"/>
            <w:vAlign w:val="center"/>
          </w:tcPr>
          <w:p w14:paraId="4700A3F5" w14:textId="77777777" w:rsidR="00215E6A" w:rsidRPr="00D96655" w:rsidRDefault="00215E6A" w:rsidP="00215E6A">
            <w:pPr>
              <w:pStyle w:val="ListParagraph"/>
              <w:numPr>
                <w:ilvl w:val="0"/>
                <w:numId w:val="7"/>
              </w:numPr>
              <w:spacing w:after="120"/>
              <w:ind w:left="360" w:hanging="216"/>
            </w:pPr>
            <w:r w:rsidRPr="00D96655">
              <w:t>Planning and scheduling</w:t>
            </w:r>
          </w:p>
          <w:p w14:paraId="7E9EBA94" w14:textId="77777777" w:rsidR="00215E6A" w:rsidRPr="00D96655" w:rsidRDefault="00215E6A" w:rsidP="00215E6A">
            <w:pPr>
              <w:pStyle w:val="ListParagraph"/>
              <w:numPr>
                <w:ilvl w:val="0"/>
                <w:numId w:val="7"/>
              </w:numPr>
              <w:spacing w:after="120"/>
              <w:ind w:left="360" w:hanging="216"/>
            </w:pPr>
            <w:r w:rsidRPr="00D96655">
              <w:t>Resource allocation and management (Overseeing resources including budget, equipment, personnel)</w:t>
            </w:r>
          </w:p>
          <w:p w14:paraId="2A68B208" w14:textId="77777777" w:rsidR="00215E6A" w:rsidRPr="00D96655" w:rsidRDefault="00215E6A" w:rsidP="00215E6A">
            <w:pPr>
              <w:pStyle w:val="ListParagraph"/>
              <w:numPr>
                <w:ilvl w:val="0"/>
                <w:numId w:val="7"/>
              </w:numPr>
              <w:spacing w:after="120"/>
              <w:ind w:left="360" w:hanging="216"/>
            </w:pPr>
            <w:r w:rsidRPr="00D96655">
              <w:t xml:space="preserve">Risk identification and management </w:t>
            </w:r>
          </w:p>
          <w:p w14:paraId="0D82B6E6" w14:textId="77777777" w:rsidR="00215E6A" w:rsidRPr="00D96655" w:rsidRDefault="00215E6A" w:rsidP="00215E6A">
            <w:pPr>
              <w:pStyle w:val="ListParagraph"/>
              <w:numPr>
                <w:ilvl w:val="0"/>
                <w:numId w:val="7"/>
              </w:numPr>
              <w:spacing w:after="120"/>
              <w:ind w:left="360" w:hanging="216"/>
            </w:pPr>
            <w:r w:rsidRPr="00D96655">
              <w:t>Reporting and documentation</w:t>
            </w:r>
          </w:p>
          <w:p w14:paraId="6AAF4ECC" w14:textId="77777777" w:rsidR="00215E6A" w:rsidRPr="00D96655" w:rsidRDefault="00215E6A" w:rsidP="00215E6A">
            <w:pPr>
              <w:pStyle w:val="ListParagraph"/>
              <w:numPr>
                <w:ilvl w:val="0"/>
                <w:numId w:val="7"/>
              </w:numPr>
              <w:spacing w:after="120"/>
              <w:ind w:left="360" w:hanging="216"/>
            </w:pPr>
            <w:r w:rsidRPr="00D96655">
              <w:t xml:space="preserve">Contract management  </w:t>
            </w:r>
          </w:p>
          <w:p w14:paraId="626EDF9E" w14:textId="77777777" w:rsidR="00215E6A" w:rsidRPr="00D96655" w:rsidRDefault="00215E6A" w:rsidP="00215E6A">
            <w:pPr>
              <w:pStyle w:val="ListParagraph"/>
              <w:numPr>
                <w:ilvl w:val="0"/>
                <w:numId w:val="7"/>
              </w:numPr>
              <w:spacing w:after="120"/>
              <w:ind w:left="360" w:hanging="216"/>
            </w:pPr>
            <w:r w:rsidRPr="00D96655">
              <w:t>Monitoring and Evaluation</w:t>
            </w:r>
          </w:p>
          <w:p w14:paraId="5285A5BC" w14:textId="77777777" w:rsidR="00215E6A" w:rsidRPr="00D96655" w:rsidRDefault="00215E6A" w:rsidP="00215E6A">
            <w:pPr>
              <w:pStyle w:val="ListParagraph"/>
              <w:numPr>
                <w:ilvl w:val="0"/>
                <w:numId w:val="7"/>
              </w:numPr>
              <w:spacing w:after="120"/>
              <w:ind w:left="360" w:hanging="216"/>
            </w:pPr>
            <w:r w:rsidRPr="00D96655">
              <w:t>Stakeholder management</w:t>
            </w:r>
          </w:p>
          <w:p w14:paraId="2331EDA5" w14:textId="74859D8D" w:rsidR="00215E6A" w:rsidRPr="00D96655" w:rsidRDefault="00215E6A" w:rsidP="003E3C49">
            <w:pPr>
              <w:pStyle w:val="ListParagraph"/>
              <w:numPr>
                <w:ilvl w:val="0"/>
                <w:numId w:val="7"/>
              </w:numPr>
              <w:ind w:left="360" w:hanging="216"/>
            </w:pPr>
            <w:r w:rsidRPr="00D96655">
              <w:t>Project management tools</w:t>
            </w:r>
          </w:p>
        </w:tc>
      </w:tr>
      <w:tr w:rsidR="00215E6A" w:rsidRPr="00D96655" w14:paraId="0A5ABD6E" w14:textId="77777777" w:rsidTr="00254A27">
        <w:trPr>
          <w:trHeight w:val="300"/>
          <w:jc w:val="center"/>
        </w:trPr>
        <w:tc>
          <w:tcPr>
            <w:tcW w:w="740" w:type="dxa"/>
            <w:vAlign w:val="center"/>
          </w:tcPr>
          <w:p w14:paraId="58AD75EB" w14:textId="77777777" w:rsidR="00215E6A" w:rsidRPr="00D96655" w:rsidRDefault="00215E6A" w:rsidP="00254A27">
            <w:pPr>
              <w:rPr>
                <w:b/>
                <w:bCs/>
              </w:rPr>
            </w:pPr>
            <w:r w:rsidRPr="00D96655">
              <w:rPr>
                <w:b/>
                <w:bCs/>
              </w:rPr>
              <w:t>SC9</w:t>
            </w:r>
          </w:p>
        </w:tc>
        <w:tc>
          <w:tcPr>
            <w:tcW w:w="2175" w:type="dxa"/>
            <w:vAlign w:val="center"/>
          </w:tcPr>
          <w:p w14:paraId="1191A625" w14:textId="77777777" w:rsidR="00215E6A" w:rsidRPr="00D96655" w:rsidRDefault="00215E6A" w:rsidP="00254A27">
            <w:pPr>
              <w:rPr>
                <w:b/>
                <w:bCs/>
              </w:rPr>
            </w:pPr>
            <w:r w:rsidRPr="00D96655">
              <w:rPr>
                <w:b/>
                <w:bCs/>
              </w:rPr>
              <w:t xml:space="preserve">Professional and career development  </w:t>
            </w:r>
          </w:p>
        </w:tc>
        <w:tc>
          <w:tcPr>
            <w:tcW w:w="7560" w:type="dxa"/>
            <w:vAlign w:val="center"/>
          </w:tcPr>
          <w:p w14:paraId="1B9F90E4" w14:textId="77777777" w:rsidR="00215E6A" w:rsidRPr="00D96655" w:rsidRDefault="00215E6A" w:rsidP="00254A27">
            <w:pPr>
              <w:spacing w:after="160" w:line="259" w:lineRule="auto"/>
            </w:pPr>
            <w:r w:rsidRPr="00D96655">
              <w:t xml:space="preserve">This category encompasses two interconnected and specific concepts. It involves professional development, a process through which an individual acquires or enhances skills, knowledge, and attitudes to improve their practice (Michell, 2013). </w:t>
            </w:r>
          </w:p>
          <w:p w14:paraId="53863E30" w14:textId="77777777" w:rsidR="00215E6A" w:rsidRPr="00D96655" w:rsidRDefault="00215E6A" w:rsidP="00254A27">
            <w:pPr>
              <w:spacing w:after="20"/>
              <w:contextualSpacing/>
            </w:pPr>
            <w:r w:rsidRPr="00D96655">
              <w:t>This category also includes career development, which focuses on career decision-making and job-seeking behaviours (Helwig &amp; Vidales, 1989; Wanberg, Ali, &amp; Csillag, 2020). Together, these concepts emphasize continuous growth, self-improvement, and the strategic management of one's career path.</w:t>
            </w:r>
          </w:p>
        </w:tc>
        <w:tc>
          <w:tcPr>
            <w:tcW w:w="4262" w:type="dxa"/>
            <w:vAlign w:val="center"/>
          </w:tcPr>
          <w:p w14:paraId="600C9C97" w14:textId="77777777" w:rsidR="00215E6A" w:rsidRPr="00D96655" w:rsidRDefault="00215E6A" w:rsidP="00254A27">
            <w:pPr>
              <w:pStyle w:val="ListParagraph"/>
              <w:spacing w:after="120"/>
              <w:ind w:left="144"/>
              <w:rPr>
                <w:u w:val="single"/>
              </w:rPr>
            </w:pPr>
            <w:r w:rsidRPr="00D96655">
              <w:rPr>
                <w:u w:val="single"/>
              </w:rPr>
              <w:t>Professional development</w:t>
            </w:r>
          </w:p>
          <w:p w14:paraId="5EE02EEF"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Setting goals</w:t>
            </w:r>
          </w:p>
          <w:p w14:paraId="59757E1C"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Identifying skill gaps</w:t>
            </w:r>
          </w:p>
          <w:p w14:paraId="0B73D89C"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Creating a development plan</w:t>
            </w:r>
          </w:p>
          <w:p w14:paraId="76498361"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Reviewing progress</w:t>
            </w:r>
          </w:p>
          <w:p w14:paraId="7D420E9B"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Career development</w:t>
            </w:r>
          </w:p>
          <w:p w14:paraId="6A373F93"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Planning tools</w:t>
            </w:r>
          </w:p>
          <w:p w14:paraId="648EE090" w14:textId="77777777" w:rsidR="00215E6A" w:rsidRPr="00D96655" w:rsidRDefault="00215E6A" w:rsidP="00254A27">
            <w:pPr>
              <w:pStyle w:val="ListParagraph"/>
              <w:spacing w:after="120"/>
              <w:ind w:left="144"/>
              <w:rPr>
                <w:u w:val="single"/>
              </w:rPr>
            </w:pPr>
            <w:r w:rsidRPr="00D96655">
              <w:rPr>
                <w:u w:val="single"/>
              </w:rPr>
              <w:t>Personal branding</w:t>
            </w:r>
          </w:p>
          <w:p w14:paraId="5849DF4F"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Networking</w:t>
            </w:r>
          </w:p>
          <w:p w14:paraId="2508C23A"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Writing a CV</w:t>
            </w:r>
          </w:p>
          <w:p w14:paraId="5C0FED75"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Writing a Cover Letter</w:t>
            </w:r>
          </w:p>
          <w:p w14:paraId="6A1578CB"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Job search strategies</w:t>
            </w:r>
          </w:p>
          <w:p w14:paraId="54C7F509" w14:textId="77777777" w:rsidR="00215E6A" w:rsidRPr="00D96655" w:rsidRDefault="00215E6A" w:rsidP="00215E6A">
            <w:pPr>
              <w:pStyle w:val="ListParagraph"/>
              <w:numPr>
                <w:ilvl w:val="0"/>
                <w:numId w:val="7"/>
              </w:numPr>
              <w:spacing w:line="257" w:lineRule="auto"/>
              <w:rPr>
                <w:rFonts w:ascii="Aptos" w:eastAsia="Aptos" w:hAnsi="Aptos" w:cs="Aptos"/>
              </w:rPr>
            </w:pPr>
            <w:r w:rsidRPr="00D96655">
              <w:rPr>
                <w:rFonts w:ascii="Aptos" w:eastAsia="Aptos" w:hAnsi="Aptos" w:cs="Aptos"/>
              </w:rPr>
              <w:t>Job interview skills</w:t>
            </w:r>
          </w:p>
          <w:p w14:paraId="16104CB0" w14:textId="77777777" w:rsidR="00215E6A" w:rsidRPr="00D96655" w:rsidRDefault="00215E6A" w:rsidP="00215E6A">
            <w:pPr>
              <w:pStyle w:val="ListParagraph"/>
              <w:numPr>
                <w:ilvl w:val="0"/>
                <w:numId w:val="7"/>
              </w:numPr>
              <w:spacing w:line="257" w:lineRule="auto"/>
            </w:pPr>
            <w:r w:rsidRPr="00D96655">
              <w:rPr>
                <w:rFonts w:ascii="Aptos" w:eastAsia="Aptos" w:hAnsi="Aptos" w:cs="Aptos"/>
              </w:rPr>
              <w:t>Job search tools</w:t>
            </w:r>
          </w:p>
        </w:tc>
      </w:tr>
      <w:tr w:rsidR="00215E6A" w:rsidRPr="00D96655" w14:paraId="6072B34D" w14:textId="77777777" w:rsidTr="00254A27">
        <w:trPr>
          <w:trHeight w:val="300"/>
          <w:jc w:val="center"/>
        </w:trPr>
        <w:tc>
          <w:tcPr>
            <w:tcW w:w="740" w:type="dxa"/>
            <w:shd w:val="clear" w:color="auto" w:fill="E2EFD9" w:themeFill="accent6" w:themeFillTint="33"/>
            <w:vAlign w:val="center"/>
          </w:tcPr>
          <w:p w14:paraId="5621CEFF" w14:textId="77777777" w:rsidR="00215E6A" w:rsidRPr="00D96655" w:rsidRDefault="00215E6A" w:rsidP="00254A27">
            <w:pPr>
              <w:rPr>
                <w:b/>
                <w:bCs/>
              </w:rPr>
            </w:pPr>
            <w:r w:rsidRPr="00D96655">
              <w:rPr>
                <w:b/>
                <w:bCs/>
              </w:rPr>
              <w:t>SC10</w:t>
            </w:r>
          </w:p>
        </w:tc>
        <w:tc>
          <w:tcPr>
            <w:tcW w:w="2175" w:type="dxa"/>
            <w:shd w:val="clear" w:color="auto" w:fill="E2EFD9" w:themeFill="accent6" w:themeFillTint="33"/>
            <w:vAlign w:val="center"/>
          </w:tcPr>
          <w:p w14:paraId="6A0EE2A7" w14:textId="77777777" w:rsidR="00215E6A" w:rsidRPr="00D96655" w:rsidRDefault="00215E6A" w:rsidP="00254A27">
            <w:pPr>
              <w:rPr>
                <w:rFonts w:ascii="Aptos" w:eastAsia="Aptos" w:hAnsi="Aptos" w:cs="Aptos"/>
                <w:b/>
                <w:bCs/>
              </w:rPr>
            </w:pPr>
            <w:r w:rsidRPr="00D96655">
              <w:rPr>
                <w:rFonts w:ascii="Aptos" w:eastAsia="Aptos" w:hAnsi="Aptos" w:cs="Aptos"/>
                <w:b/>
                <w:bCs/>
              </w:rPr>
              <w:t>Skills for Independent and Collaborative Work</w:t>
            </w:r>
          </w:p>
        </w:tc>
        <w:tc>
          <w:tcPr>
            <w:tcW w:w="7560" w:type="dxa"/>
            <w:shd w:val="clear" w:color="auto" w:fill="E2EFD9" w:themeFill="accent6" w:themeFillTint="33"/>
            <w:vAlign w:val="center"/>
          </w:tcPr>
          <w:p w14:paraId="581A0E96" w14:textId="77777777" w:rsidR="00215E6A" w:rsidRPr="00D96655" w:rsidRDefault="00215E6A" w:rsidP="00254A27">
            <w:pPr>
              <w:spacing w:after="160" w:line="257" w:lineRule="auto"/>
              <w:rPr>
                <w:rFonts w:ascii="Aptos" w:eastAsia="Aptos" w:hAnsi="Aptos" w:cs="Aptos"/>
              </w:rPr>
            </w:pPr>
            <w:r w:rsidRPr="00D96655">
              <w:rPr>
                <w:rFonts w:ascii="Aptos" w:eastAsia="Aptos" w:hAnsi="Aptos" w:cs="Aptos"/>
              </w:rPr>
              <w:t>Working independently showcases self-drive and autonomy, allowing individuals to complete tasks with minimal supervision by leveraging their skills and demonstrating responsibility and self-reliance (</w:t>
            </w:r>
            <w:proofErr w:type="spellStart"/>
            <w:r w:rsidRPr="00D96655">
              <w:rPr>
                <w:rFonts w:ascii="Aptos" w:eastAsia="Aptos" w:hAnsi="Aptos" w:cs="Aptos"/>
              </w:rPr>
              <w:t>Suarta</w:t>
            </w:r>
            <w:proofErr w:type="spellEnd"/>
            <w:r w:rsidRPr="00D96655">
              <w:rPr>
                <w:rFonts w:ascii="Aptos" w:eastAsia="Aptos" w:hAnsi="Aptos" w:cs="Aptos"/>
              </w:rPr>
              <w:t xml:space="preserve"> et al., 2024). On the other hand, collaborative work involves teamwork behaviours that enhance team effectiveness, such as communication, decision-making, and situational awareness (Beaubien &amp; Baker, 2017; </w:t>
            </w:r>
            <w:proofErr w:type="spellStart"/>
            <w:r w:rsidRPr="00D96655">
              <w:rPr>
                <w:rFonts w:ascii="Aptos" w:eastAsia="Aptos" w:hAnsi="Aptos" w:cs="Aptos"/>
              </w:rPr>
              <w:t>Jaufuraully</w:t>
            </w:r>
            <w:proofErr w:type="spellEnd"/>
            <w:r w:rsidRPr="00D96655">
              <w:rPr>
                <w:rFonts w:ascii="Aptos" w:eastAsia="Aptos" w:hAnsi="Aptos" w:cs="Aptos"/>
              </w:rPr>
              <w:t xml:space="preserve"> et al, 202215). </w:t>
            </w:r>
          </w:p>
          <w:p w14:paraId="7AAE7C3C" w14:textId="77777777" w:rsidR="00215E6A" w:rsidRPr="00D96655" w:rsidRDefault="00215E6A" w:rsidP="00254A27">
            <w:pPr>
              <w:spacing w:after="160" w:line="257" w:lineRule="auto"/>
              <w:rPr>
                <w:rFonts w:ascii="Aptos" w:eastAsia="Aptos" w:hAnsi="Aptos" w:cs="Aptos"/>
              </w:rPr>
            </w:pPr>
            <w:r w:rsidRPr="00D96655">
              <w:rPr>
                <w:rFonts w:ascii="Aptos" w:eastAsia="Aptos" w:hAnsi="Aptos" w:cs="Aptos"/>
              </w:rPr>
              <w:t xml:space="preserve"> </w:t>
            </w:r>
            <w:r w:rsidRPr="00D96655">
              <w:rPr>
                <w:rFonts w:eastAsiaTheme="minorEastAsia"/>
                <w:lang w:val="en-US"/>
              </w:rPr>
              <w:t>Skills and considerations in the category may also sit under SC2 and SC8</w:t>
            </w:r>
          </w:p>
        </w:tc>
        <w:tc>
          <w:tcPr>
            <w:tcW w:w="4262" w:type="dxa"/>
            <w:shd w:val="clear" w:color="auto" w:fill="E2EFD9" w:themeFill="accent6" w:themeFillTint="33"/>
            <w:vAlign w:val="center"/>
          </w:tcPr>
          <w:p w14:paraId="12E111A5" w14:textId="77777777" w:rsidR="00215E6A" w:rsidRPr="00D96655" w:rsidRDefault="00215E6A" w:rsidP="00254A27">
            <w:pPr>
              <w:pStyle w:val="ListParagraph"/>
              <w:spacing w:after="120"/>
              <w:ind w:left="144"/>
              <w:rPr>
                <w:u w:val="single"/>
              </w:rPr>
            </w:pPr>
            <w:r w:rsidRPr="00D96655">
              <w:rPr>
                <w:rFonts w:ascii="Aptos" w:eastAsia="Aptos" w:hAnsi="Aptos" w:cs="Aptos"/>
              </w:rPr>
              <w:t>I</w:t>
            </w:r>
            <w:r w:rsidRPr="00D96655">
              <w:rPr>
                <w:rFonts w:eastAsiaTheme="minorEastAsia"/>
                <w:u w:val="single"/>
              </w:rPr>
              <w:t>ndependent work</w:t>
            </w:r>
          </w:p>
          <w:p w14:paraId="5F6EA68E"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Self-motivation</w:t>
            </w:r>
          </w:p>
          <w:p w14:paraId="32F87798"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Time management</w:t>
            </w:r>
          </w:p>
          <w:p w14:paraId="0110CC2D"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Problem-solving</w:t>
            </w:r>
          </w:p>
          <w:p w14:paraId="7C759889"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Accountability</w:t>
            </w:r>
          </w:p>
          <w:p w14:paraId="4669B6D5"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Reflective practice</w:t>
            </w:r>
          </w:p>
          <w:p w14:paraId="6097E085" w14:textId="77777777" w:rsidR="00215E6A" w:rsidRPr="00D96655" w:rsidRDefault="00215E6A" w:rsidP="00254A27">
            <w:pPr>
              <w:pStyle w:val="ListParagraph"/>
              <w:spacing w:after="120"/>
              <w:ind w:left="144"/>
              <w:rPr>
                <w:rFonts w:eastAsiaTheme="minorEastAsia"/>
                <w:u w:val="single"/>
              </w:rPr>
            </w:pPr>
            <w:r w:rsidRPr="00D96655">
              <w:rPr>
                <w:rFonts w:eastAsiaTheme="minorEastAsia"/>
                <w:u w:val="single"/>
              </w:rPr>
              <w:t xml:space="preserve">Teamwork </w:t>
            </w:r>
          </w:p>
          <w:p w14:paraId="3D8D31AC"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Leadership in context including large projects, labs</w:t>
            </w:r>
          </w:p>
          <w:p w14:paraId="6CB767C7"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Communication</w:t>
            </w:r>
          </w:p>
          <w:p w14:paraId="53152465"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Team coordination</w:t>
            </w:r>
          </w:p>
          <w:p w14:paraId="6D220E21"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Conflict resolution</w:t>
            </w:r>
          </w:p>
          <w:p w14:paraId="4E850737" w14:textId="77777777" w:rsidR="00215E6A" w:rsidRPr="00D96655" w:rsidRDefault="00215E6A" w:rsidP="00215E6A">
            <w:pPr>
              <w:pStyle w:val="ListParagraph"/>
              <w:numPr>
                <w:ilvl w:val="0"/>
                <w:numId w:val="6"/>
              </w:numPr>
              <w:ind w:left="737" w:hanging="377"/>
              <w:rPr>
                <w:rFonts w:ascii="Aptos" w:eastAsia="Aptos" w:hAnsi="Aptos" w:cs="Aptos"/>
              </w:rPr>
            </w:pPr>
            <w:r w:rsidRPr="00D96655">
              <w:rPr>
                <w:rFonts w:ascii="Aptos" w:eastAsia="Aptos" w:hAnsi="Aptos" w:cs="Aptos"/>
              </w:rPr>
              <w:t>Adaptability</w:t>
            </w:r>
          </w:p>
        </w:tc>
      </w:tr>
    </w:tbl>
    <w:p w14:paraId="2B558783" w14:textId="77777777" w:rsidR="00215E6A" w:rsidRDefault="00215E6A" w:rsidP="00215E6A">
      <w:pPr>
        <w:pStyle w:val="Footer"/>
      </w:pPr>
    </w:p>
    <w:p w14:paraId="0B3C6DB5" w14:textId="77777777" w:rsidR="00215E6A" w:rsidRDefault="00215E6A" w:rsidP="00215E6A">
      <w:pPr>
        <w:rPr>
          <w:b/>
          <w:bCs/>
        </w:rPr>
      </w:pPr>
    </w:p>
    <w:p w14:paraId="28496650" w14:textId="77777777" w:rsidR="00215E6A" w:rsidRDefault="00215E6A" w:rsidP="00215E6A">
      <w:pPr>
        <w:rPr>
          <w:b/>
          <w:bCs/>
        </w:rPr>
      </w:pPr>
    </w:p>
    <w:p w14:paraId="4C994500" w14:textId="77777777" w:rsidR="003E3C49" w:rsidRDefault="003E3C49" w:rsidP="00215E6A">
      <w:pPr>
        <w:rPr>
          <w:b/>
          <w:bCs/>
        </w:rPr>
      </w:pPr>
    </w:p>
    <w:p w14:paraId="20E28E6C" w14:textId="77777777" w:rsidR="003E3C49" w:rsidRDefault="003E3C49" w:rsidP="00215E6A">
      <w:pPr>
        <w:rPr>
          <w:b/>
          <w:bCs/>
        </w:rPr>
      </w:pPr>
    </w:p>
    <w:p w14:paraId="4861E7D4" w14:textId="77777777" w:rsidR="003E3C49" w:rsidRDefault="003E3C49" w:rsidP="00215E6A">
      <w:pPr>
        <w:rPr>
          <w:b/>
          <w:bCs/>
        </w:rPr>
      </w:pPr>
    </w:p>
    <w:p w14:paraId="0E1295D0" w14:textId="77777777" w:rsidR="003E3C49" w:rsidRDefault="003E3C49" w:rsidP="00215E6A">
      <w:pPr>
        <w:rPr>
          <w:b/>
          <w:bCs/>
        </w:rPr>
      </w:pPr>
    </w:p>
    <w:p w14:paraId="6E3CFF75" w14:textId="77777777" w:rsidR="003E3C49" w:rsidRDefault="003E3C49" w:rsidP="00215E6A">
      <w:pPr>
        <w:rPr>
          <w:b/>
          <w:bCs/>
        </w:rPr>
      </w:pPr>
    </w:p>
    <w:p w14:paraId="4FC847DA" w14:textId="77777777" w:rsidR="003E3C49" w:rsidRDefault="003E3C49" w:rsidP="00215E6A">
      <w:pPr>
        <w:rPr>
          <w:b/>
          <w:bCs/>
        </w:rPr>
      </w:pPr>
    </w:p>
    <w:p w14:paraId="36D7D13E" w14:textId="77777777" w:rsidR="003E3C49" w:rsidRDefault="003E3C49" w:rsidP="00215E6A">
      <w:pPr>
        <w:rPr>
          <w:b/>
          <w:bCs/>
        </w:rPr>
      </w:pPr>
    </w:p>
    <w:p w14:paraId="0ED952FD" w14:textId="77777777" w:rsidR="003E3C49" w:rsidRDefault="003E3C49" w:rsidP="00215E6A">
      <w:pPr>
        <w:rPr>
          <w:b/>
          <w:bCs/>
        </w:rPr>
      </w:pPr>
    </w:p>
    <w:p w14:paraId="46854352" w14:textId="77777777" w:rsidR="003E3C49" w:rsidRDefault="003E3C49" w:rsidP="00215E6A">
      <w:pPr>
        <w:rPr>
          <w:b/>
          <w:bCs/>
        </w:rPr>
      </w:pPr>
    </w:p>
    <w:p w14:paraId="22E6CF53" w14:textId="77777777" w:rsidR="00215E6A" w:rsidRDefault="00215E6A" w:rsidP="00215E6A">
      <w:pPr>
        <w:rPr>
          <w:b/>
          <w:bCs/>
        </w:rPr>
      </w:pPr>
    </w:p>
    <w:p w14:paraId="0BAC68D7" w14:textId="77777777" w:rsidR="00215E6A" w:rsidRPr="008F55FF" w:rsidRDefault="00215E6A" w:rsidP="00215E6A">
      <w:pPr>
        <w:rPr>
          <w:b/>
          <w:bCs/>
        </w:rPr>
      </w:pPr>
      <w:r w:rsidRPr="2564356A">
        <w:rPr>
          <w:b/>
          <w:bCs/>
        </w:rPr>
        <w:t>Reference List</w:t>
      </w:r>
    </w:p>
    <w:p w14:paraId="703EB0BB" w14:textId="77777777" w:rsidR="00215E6A" w:rsidRDefault="00215E6A" w:rsidP="00215E6A">
      <w:pPr>
        <w:rPr>
          <w:rFonts w:ascii="Aptos" w:eastAsia="Aptos" w:hAnsi="Aptos" w:cs="Arial"/>
        </w:rPr>
      </w:pPr>
      <w:r w:rsidRPr="2564356A">
        <w:rPr>
          <w:rFonts w:ascii="Aptos" w:eastAsia="Aptos" w:hAnsi="Aptos" w:cs="Arial"/>
        </w:rPr>
        <w:t>Ahmad, R., Gordon, A. C., Aylin, P., Redhead, J., &amp; Holmes, A. (2022). Effective knowledge mobilisation: creating environments for quick generation, dissemination, and use of evidence. </w:t>
      </w:r>
      <w:proofErr w:type="spellStart"/>
      <w:r w:rsidRPr="2564356A">
        <w:rPr>
          <w:rFonts w:ascii="Aptos" w:eastAsia="Aptos" w:hAnsi="Aptos" w:cs="Arial"/>
          <w:i/>
          <w:iCs/>
        </w:rPr>
        <w:t>bmj</w:t>
      </w:r>
      <w:proofErr w:type="spellEnd"/>
      <w:r w:rsidRPr="2564356A">
        <w:rPr>
          <w:rFonts w:ascii="Aptos" w:eastAsia="Aptos" w:hAnsi="Aptos" w:cs="Arial"/>
        </w:rPr>
        <w:t>, </w:t>
      </w:r>
      <w:r w:rsidRPr="2564356A">
        <w:rPr>
          <w:rFonts w:ascii="Aptos" w:eastAsia="Aptos" w:hAnsi="Aptos" w:cs="Arial"/>
          <w:i/>
          <w:iCs/>
        </w:rPr>
        <w:t>379</w:t>
      </w:r>
      <w:r w:rsidRPr="2564356A">
        <w:rPr>
          <w:rFonts w:ascii="Aptos" w:eastAsia="Aptos" w:hAnsi="Aptos" w:cs="Arial"/>
        </w:rPr>
        <w:t xml:space="preserve">.   </w:t>
      </w:r>
    </w:p>
    <w:p w14:paraId="300EF1B7" w14:textId="77777777" w:rsidR="00215E6A" w:rsidRDefault="00215E6A" w:rsidP="00215E6A">
      <w:pPr>
        <w:rPr>
          <w:rFonts w:ascii="Aptos" w:eastAsia="Aptos" w:hAnsi="Aptos" w:cs="Arial"/>
        </w:rPr>
      </w:pPr>
      <w:r w:rsidRPr="2564356A">
        <w:rPr>
          <w:rFonts w:ascii="Aptos" w:eastAsia="Aptos" w:hAnsi="Aptos" w:cs="Arial"/>
        </w:rPr>
        <w:t xml:space="preserve">Alizadeh, S., &amp; Chavan, M. (2016). Cultural competence dimensions and outcomes: a systematic review of the literature. Health &amp; social care in the community, 24(6), e117-e130.   </w:t>
      </w:r>
    </w:p>
    <w:p w14:paraId="485BD604" w14:textId="77777777" w:rsidR="00215E6A" w:rsidRDefault="00215E6A" w:rsidP="00215E6A">
      <w:pPr>
        <w:rPr>
          <w:rFonts w:ascii="Aptos" w:eastAsia="Aptos" w:hAnsi="Aptos" w:cs="Arial"/>
        </w:rPr>
      </w:pPr>
      <w:r w:rsidRPr="2564356A">
        <w:rPr>
          <w:rFonts w:ascii="Aptos" w:eastAsia="Aptos" w:hAnsi="Aptos" w:cs="Arial"/>
        </w:rPr>
        <w:t xml:space="preserve">Beaubien, J. M., &amp; Baker, D. P. (2017). The use of simulation for training teamwork skills in health care: how low can you </w:t>
      </w:r>
      <w:proofErr w:type="gramStart"/>
      <w:r w:rsidRPr="2564356A">
        <w:rPr>
          <w:rFonts w:ascii="Aptos" w:eastAsia="Aptos" w:hAnsi="Aptos" w:cs="Arial"/>
        </w:rPr>
        <w:t>go?.</w:t>
      </w:r>
      <w:proofErr w:type="gramEnd"/>
      <w:r w:rsidRPr="2564356A">
        <w:rPr>
          <w:rFonts w:ascii="Aptos" w:eastAsia="Aptos" w:hAnsi="Aptos" w:cs="Arial"/>
        </w:rPr>
        <w:t xml:space="preserve"> </w:t>
      </w:r>
      <w:r w:rsidRPr="2564356A">
        <w:rPr>
          <w:rFonts w:ascii="Aptos" w:eastAsia="Aptos" w:hAnsi="Aptos" w:cs="Arial"/>
          <w:i/>
          <w:iCs/>
        </w:rPr>
        <w:t>Simulation in Aviation Training</w:t>
      </w:r>
      <w:r w:rsidRPr="2564356A">
        <w:rPr>
          <w:rFonts w:ascii="Aptos" w:eastAsia="Aptos" w:hAnsi="Aptos" w:cs="Arial"/>
        </w:rPr>
        <w:t xml:space="preserve">, 445-450.  </w:t>
      </w:r>
    </w:p>
    <w:p w14:paraId="062E3DCF" w14:textId="77777777" w:rsidR="00215E6A" w:rsidRDefault="00215E6A" w:rsidP="00215E6A">
      <w:pPr>
        <w:rPr>
          <w:rFonts w:ascii="Aptos" w:eastAsia="Aptos" w:hAnsi="Aptos" w:cs="Arial"/>
        </w:rPr>
      </w:pPr>
      <w:r w:rsidRPr="2564356A">
        <w:rPr>
          <w:rFonts w:ascii="Aptos" w:eastAsia="Aptos" w:hAnsi="Aptos" w:cs="Arial"/>
        </w:rPr>
        <w:t>Beaulieu, L., &amp; Jimenez</w:t>
      </w:r>
      <w:r w:rsidRPr="2564356A">
        <w:rPr>
          <w:rFonts w:ascii="Cambria Math" w:eastAsia="Aptos" w:hAnsi="Cambria Math" w:cs="Cambria Math"/>
        </w:rPr>
        <w:t>‐</w:t>
      </w:r>
      <w:r w:rsidRPr="2564356A">
        <w:rPr>
          <w:rFonts w:ascii="Aptos" w:eastAsia="Aptos" w:hAnsi="Aptos" w:cs="Arial"/>
        </w:rPr>
        <w:t xml:space="preserve">Gomez, C. (2022). Cultural responsiveness in applied </w:t>
      </w:r>
      <w:proofErr w:type="spellStart"/>
      <w:r w:rsidRPr="2564356A">
        <w:rPr>
          <w:rFonts w:ascii="Aptos" w:eastAsia="Aptos" w:hAnsi="Aptos" w:cs="Arial"/>
        </w:rPr>
        <w:t>behavior</w:t>
      </w:r>
      <w:proofErr w:type="spellEnd"/>
      <w:r w:rsidRPr="2564356A">
        <w:rPr>
          <w:rFonts w:ascii="Aptos" w:eastAsia="Aptos" w:hAnsi="Aptos" w:cs="Arial"/>
        </w:rPr>
        <w:t xml:space="preserve"> analysis: Self</w:t>
      </w:r>
      <w:r w:rsidRPr="2564356A">
        <w:rPr>
          <w:rFonts w:ascii="Cambria Math" w:eastAsia="Aptos" w:hAnsi="Cambria Math" w:cs="Cambria Math"/>
        </w:rPr>
        <w:t>‐</w:t>
      </w:r>
      <w:r w:rsidRPr="2564356A">
        <w:rPr>
          <w:rFonts w:ascii="Aptos" w:eastAsia="Aptos" w:hAnsi="Aptos" w:cs="Arial"/>
        </w:rPr>
        <w:t>assessment.</w:t>
      </w:r>
      <w:r w:rsidRPr="2564356A">
        <w:rPr>
          <w:rFonts w:ascii="Aptos" w:eastAsia="Aptos" w:hAnsi="Aptos" w:cs="Aptos"/>
        </w:rPr>
        <w:t> </w:t>
      </w:r>
      <w:r w:rsidRPr="2564356A">
        <w:rPr>
          <w:rFonts w:ascii="Aptos" w:eastAsia="Aptos" w:hAnsi="Aptos" w:cs="Arial"/>
          <w:i/>
          <w:iCs/>
        </w:rPr>
        <w:t xml:space="preserve">Journal of Applied </w:t>
      </w:r>
      <w:proofErr w:type="spellStart"/>
      <w:r w:rsidRPr="2564356A">
        <w:rPr>
          <w:rFonts w:ascii="Aptos" w:eastAsia="Aptos" w:hAnsi="Aptos" w:cs="Arial"/>
          <w:i/>
          <w:iCs/>
        </w:rPr>
        <w:t>Behavior</w:t>
      </w:r>
      <w:proofErr w:type="spellEnd"/>
      <w:r w:rsidRPr="2564356A">
        <w:rPr>
          <w:rFonts w:ascii="Aptos" w:eastAsia="Aptos" w:hAnsi="Aptos" w:cs="Arial"/>
          <w:i/>
          <w:iCs/>
        </w:rPr>
        <w:t xml:space="preserve"> Analysis</w:t>
      </w:r>
      <w:r w:rsidRPr="2564356A">
        <w:rPr>
          <w:rFonts w:ascii="Aptos" w:eastAsia="Aptos" w:hAnsi="Aptos" w:cs="Arial"/>
        </w:rPr>
        <w:t>, </w:t>
      </w:r>
      <w:r w:rsidRPr="2564356A">
        <w:rPr>
          <w:rFonts w:ascii="Aptos" w:eastAsia="Aptos" w:hAnsi="Aptos" w:cs="Arial"/>
          <w:i/>
          <w:iCs/>
        </w:rPr>
        <w:t>55</w:t>
      </w:r>
      <w:r w:rsidRPr="2564356A">
        <w:rPr>
          <w:rFonts w:ascii="Aptos" w:eastAsia="Aptos" w:hAnsi="Aptos" w:cs="Arial"/>
        </w:rPr>
        <w:t xml:space="preserve">(2), 337-356.  </w:t>
      </w:r>
    </w:p>
    <w:p w14:paraId="3705E652" w14:textId="77777777" w:rsidR="00215E6A" w:rsidRDefault="00215E6A" w:rsidP="00215E6A">
      <w:pPr>
        <w:rPr>
          <w:rFonts w:ascii="Aptos" w:eastAsia="Aptos" w:hAnsi="Aptos" w:cs="Arial"/>
        </w:rPr>
      </w:pPr>
      <w:r w:rsidRPr="2564356A">
        <w:rPr>
          <w:rFonts w:ascii="Aptos" w:eastAsia="Aptos" w:hAnsi="Aptos" w:cs="Arial"/>
        </w:rPr>
        <w:t>Helwig, A. A., Hiatt, R., &amp; Vidales, J. L. (1989). Job hunting: Critical knowledge and skills. </w:t>
      </w:r>
      <w:r w:rsidRPr="2564356A">
        <w:rPr>
          <w:rFonts w:ascii="Aptos" w:eastAsia="Aptos" w:hAnsi="Aptos" w:cs="Arial"/>
          <w:i/>
          <w:iCs/>
        </w:rPr>
        <w:t>Journal of Career Development</w:t>
      </w:r>
      <w:r w:rsidRPr="2564356A">
        <w:rPr>
          <w:rFonts w:ascii="Aptos" w:eastAsia="Aptos" w:hAnsi="Aptos" w:cs="Arial"/>
        </w:rPr>
        <w:t>, </w:t>
      </w:r>
      <w:r w:rsidRPr="2564356A">
        <w:rPr>
          <w:rFonts w:ascii="Aptos" w:eastAsia="Aptos" w:hAnsi="Aptos" w:cs="Arial"/>
          <w:i/>
          <w:iCs/>
        </w:rPr>
        <w:t>15</w:t>
      </w:r>
      <w:r w:rsidRPr="2564356A">
        <w:rPr>
          <w:rFonts w:ascii="Aptos" w:eastAsia="Aptos" w:hAnsi="Aptos" w:cs="Arial"/>
        </w:rPr>
        <w:t xml:space="preserve">(3), 143-153. </w:t>
      </w:r>
    </w:p>
    <w:p w14:paraId="7861B380" w14:textId="77777777" w:rsidR="00215E6A" w:rsidRDefault="00215E6A" w:rsidP="00215E6A">
      <w:pPr>
        <w:rPr>
          <w:rFonts w:ascii="Aptos" w:eastAsia="Aptos" w:hAnsi="Aptos" w:cs="Arial"/>
        </w:rPr>
      </w:pPr>
      <w:proofErr w:type="spellStart"/>
      <w:r w:rsidRPr="2564356A">
        <w:rPr>
          <w:rFonts w:ascii="Aptos" w:eastAsia="Aptos" w:hAnsi="Aptos" w:cs="Arial"/>
        </w:rPr>
        <w:t>Huizingh</w:t>
      </w:r>
      <w:proofErr w:type="spellEnd"/>
      <w:r w:rsidRPr="2564356A">
        <w:rPr>
          <w:rFonts w:ascii="Aptos" w:eastAsia="Aptos" w:hAnsi="Aptos" w:cs="Arial"/>
        </w:rPr>
        <w:t xml:space="preserve">, E.K.R.E. (2023). Writing Skills. In: Unlocking PhD Success. Springer, Cham. </w:t>
      </w:r>
      <w:hyperlink r:id="rId7">
        <w:r w:rsidRPr="2564356A">
          <w:rPr>
            <w:rStyle w:val="Hyperlink"/>
            <w:rFonts w:ascii="Aptos" w:eastAsia="Aptos" w:hAnsi="Aptos" w:cs="Arial"/>
          </w:rPr>
          <w:t>https://doi.org/10.1007/978-3-031-40651-5_4</w:t>
        </w:r>
      </w:hyperlink>
      <w:r w:rsidRPr="2564356A">
        <w:rPr>
          <w:rFonts w:ascii="Aptos" w:eastAsia="Aptos" w:hAnsi="Aptos" w:cs="Arial"/>
        </w:rPr>
        <w:t xml:space="preserve"> </w:t>
      </w:r>
    </w:p>
    <w:p w14:paraId="57301BED" w14:textId="77777777" w:rsidR="00215E6A" w:rsidRDefault="00215E6A" w:rsidP="00215E6A">
      <w:pPr>
        <w:rPr>
          <w:rFonts w:ascii="Aptos" w:eastAsia="Aptos" w:hAnsi="Aptos" w:cs="Arial"/>
        </w:rPr>
      </w:pPr>
      <w:r w:rsidRPr="2564356A">
        <w:rPr>
          <w:rFonts w:ascii="Aptos" w:eastAsia="Aptos" w:hAnsi="Aptos" w:cs="Arial"/>
        </w:rPr>
        <w:t xml:space="preserve">Hyter, Y.D., &amp; Salas-Provance, M.B. (2019). </w:t>
      </w:r>
      <w:r w:rsidRPr="2564356A">
        <w:rPr>
          <w:rFonts w:ascii="Aptos" w:eastAsia="Aptos" w:hAnsi="Aptos" w:cs="Arial"/>
          <w:i/>
          <w:iCs/>
        </w:rPr>
        <w:t>Culturally responsive practices in speech, language, and hearing sciences</w:t>
      </w:r>
      <w:r w:rsidRPr="2564356A">
        <w:rPr>
          <w:rFonts w:ascii="Aptos" w:eastAsia="Aptos" w:hAnsi="Aptos" w:cs="Arial"/>
        </w:rPr>
        <w:t xml:space="preserve">. San Diego, CA: Plural Publishing </w:t>
      </w:r>
    </w:p>
    <w:p w14:paraId="6BAC38A0" w14:textId="77777777" w:rsidR="00215E6A" w:rsidRDefault="00215E6A" w:rsidP="00215E6A">
      <w:pPr>
        <w:rPr>
          <w:rFonts w:ascii="Aptos" w:eastAsia="Aptos" w:hAnsi="Aptos" w:cs="Arial"/>
        </w:rPr>
      </w:pPr>
      <w:proofErr w:type="spellStart"/>
      <w:r w:rsidRPr="2564356A">
        <w:rPr>
          <w:rFonts w:ascii="Aptos" w:eastAsia="Aptos" w:hAnsi="Aptos" w:cs="Arial"/>
        </w:rPr>
        <w:t>Jaufuraully</w:t>
      </w:r>
      <w:proofErr w:type="spellEnd"/>
      <w:r w:rsidRPr="2564356A">
        <w:rPr>
          <w:rFonts w:ascii="Aptos" w:eastAsia="Aptos" w:hAnsi="Aptos" w:cs="Arial"/>
        </w:rPr>
        <w:t xml:space="preserve">, S., </w:t>
      </w:r>
      <w:proofErr w:type="spellStart"/>
      <w:r w:rsidRPr="2564356A">
        <w:rPr>
          <w:rFonts w:ascii="Aptos" w:eastAsia="Aptos" w:hAnsi="Aptos" w:cs="Arial"/>
        </w:rPr>
        <w:t>Dromey</w:t>
      </w:r>
      <w:proofErr w:type="spellEnd"/>
      <w:r w:rsidRPr="2564356A">
        <w:rPr>
          <w:rFonts w:ascii="Aptos" w:eastAsia="Aptos" w:hAnsi="Aptos" w:cs="Arial"/>
        </w:rPr>
        <w:t xml:space="preserve">, B., &amp; Stoyanov, D. (2022). Simulation and beyond–Principles of effective obstetric training. </w:t>
      </w:r>
      <w:r w:rsidRPr="2564356A">
        <w:rPr>
          <w:rFonts w:ascii="Aptos" w:eastAsia="Aptos" w:hAnsi="Aptos" w:cs="Arial"/>
          <w:i/>
          <w:iCs/>
        </w:rPr>
        <w:t>Best Practice and Research: Clinical Obstetrics and Gynaecology</w:t>
      </w:r>
      <w:r w:rsidRPr="2564356A">
        <w:rPr>
          <w:rFonts w:ascii="Aptos" w:eastAsia="Aptos" w:hAnsi="Aptos" w:cs="Arial"/>
        </w:rPr>
        <w:t xml:space="preserve">, </w:t>
      </w:r>
      <w:r w:rsidRPr="2564356A">
        <w:rPr>
          <w:rFonts w:ascii="Aptos" w:eastAsia="Aptos" w:hAnsi="Aptos" w:cs="Arial"/>
          <w:i/>
          <w:iCs/>
        </w:rPr>
        <w:t>80</w:t>
      </w:r>
      <w:r w:rsidRPr="2564356A">
        <w:rPr>
          <w:rFonts w:ascii="Aptos" w:eastAsia="Aptos" w:hAnsi="Aptos" w:cs="Arial"/>
        </w:rPr>
        <w:t>, 2-13.</w:t>
      </w:r>
    </w:p>
    <w:p w14:paraId="490530AF" w14:textId="77777777" w:rsidR="00215E6A" w:rsidRDefault="00215E6A" w:rsidP="00215E6A">
      <w:pPr>
        <w:rPr>
          <w:rFonts w:ascii="Aptos" w:eastAsia="Aptos" w:hAnsi="Aptos" w:cs="Arial"/>
        </w:rPr>
      </w:pPr>
      <w:r w:rsidRPr="2564356A">
        <w:rPr>
          <w:rFonts w:ascii="Aptos" w:eastAsia="Aptos" w:hAnsi="Aptos" w:cs="Arial"/>
        </w:rPr>
        <w:t xml:space="preserve">Khanam, M. (2023, July). Subject Matter Expert (SME) Management Strategy for Multi-Criteria Decision Making (MCDM): A Case Study of Hierarchical Decision Model (HDM). In 2023 Portland International Conference on Management of Engineering and Technology (PICMET) (pp. 1-31). IEEE. </w:t>
      </w:r>
    </w:p>
    <w:p w14:paraId="67298C67" w14:textId="77777777" w:rsidR="00215E6A" w:rsidRDefault="00215E6A" w:rsidP="00215E6A">
      <w:pPr>
        <w:rPr>
          <w:rFonts w:ascii="Aptos" w:eastAsia="Aptos" w:hAnsi="Aptos" w:cs="Arial"/>
        </w:rPr>
      </w:pPr>
      <w:proofErr w:type="spellStart"/>
      <w:r w:rsidRPr="2564356A">
        <w:rPr>
          <w:rFonts w:ascii="Aptos" w:eastAsia="Aptos" w:hAnsi="Aptos" w:cs="Arial"/>
        </w:rPr>
        <w:t>Komić</w:t>
      </w:r>
      <w:proofErr w:type="spellEnd"/>
      <w:r w:rsidRPr="2564356A">
        <w:rPr>
          <w:rFonts w:ascii="Aptos" w:eastAsia="Aptos" w:hAnsi="Aptos" w:cs="Arial"/>
        </w:rPr>
        <w:t>, D., Marušić, S. L., &amp; Marušić, A. (2015). Research integrity and research ethics in professional codes of ethics: Survey of terminology used by professional organizations across research disciplines. </w:t>
      </w:r>
      <w:proofErr w:type="spellStart"/>
      <w:r w:rsidRPr="2564356A">
        <w:rPr>
          <w:rFonts w:ascii="Aptos" w:eastAsia="Aptos" w:hAnsi="Aptos" w:cs="Arial"/>
          <w:i/>
          <w:iCs/>
        </w:rPr>
        <w:t>PloS</w:t>
      </w:r>
      <w:proofErr w:type="spellEnd"/>
      <w:r w:rsidRPr="2564356A">
        <w:rPr>
          <w:rFonts w:ascii="Aptos" w:eastAsia="Aptos" w:hAnsi="Aptos" w:cs="Arial"/>
          <w:i/>
          <w:iCs/>
        </w:rPr>
        <w:t xml:space="preserve"> one</w:t>
      </w:r>
      <w:r w:rsidRPr="2564356A">
        <w:rPr>
          <w:rFonts w:ascii="Aptos" w:eastAsia="Aptos" w:hAnsi="Aptos" w:cs="Arial"/>
        </w:rPr>
        <w:t>, </w:t>
      </w:r>
      <w:r w:rsidRPr="2564356A">
        <w:rPr>
          <w:rFonts w:ascii="Aptos" w:eastAsia="Aptos" w:hAnsi="Aptos" w:cs="Arial"/>
          <w:i/>
          <w:iCs/>
        </w:rPr>
        <w:t>10</w:t>
      </w:r>
      <w:r w:rsidRPr="2564356A">
        <w:rPr>
          <w:rFonts w:ascii="Aptos" w:eastAsia="Aptos" w:hAnsi="Aptos" w:cs="Arial"/>
        </w:rPr>
        <w:t xml:space="preserve">(7), e0133662. </w:t>
      </w:r>
    </w:p>
    <w:p w14:paraId="3FFC3BA9" w14:textId="77777777" w:rsidR="00215E6A" w:rsidRDefault="00215E6A" w:rsidP="00215E6A">
      <w:pPr>
        <w:rPr>
          <w:rFonts w:ascii="Aptos" w:eastAsia="Aptos" w:hAnsi="Aptos" w:cs="Arial"/>
        </w:rPr>
      </w:pPr>
      <w:r w:rsidRPr="2564356A">
        <w:rPr>
          <w:rFonts w:ascii="Aptos" w:eastAsia="Aptos" w:hAnsi="Aptos" w:cs="Arial"/>
        </w:rPr>
        <w:t xml:space="preserve">Marušić, A. (2023). Evidence-Based Research Integrity. In: González-Esteban, E., Feenstra, R.A., </w:t>
      </w:r>
      <w:proofErr w:type="spellStart"/>
      <w:r w:rsidRPr="2564356A">
        <w:rPr>
          <w:rFonts w:ascii="Aptos" w:eastAsia="Aptos" w:hAnsi="Aptos" w:cs="Arial"/>
        </w:rPr>
        <w:t>Camarinha</w:t>
      </w:r>
      <w:proofErr w:type="spellEnd"/>
      <w:r w:rsidRPr="2564356A">
        <w:rPr>
          <w:rFonts w:ascii="Aptos" w:eastAsia="Aptos" w:hAnsi="Aptos" w:cs="Arial"/>
        </w:rPr>
        <w:t xml:space="preserve">-Matos, L.M. (eds) Ethics and Responsible Research and Innovation in Practice. Lecture Notes in Computer Science, vol 13875. Springer, Cham. </w:t>
      </w:r>
      <w:hyperlink r:id="rId8">
        <w:r w:rsidRPr="2564356A">
          <w:rPr>
            <w:rStyle w:val="Hyperlink"/>
            <w:rFonts w:ascii="Aptos" w:eastAsia="Aptos" w:hAnsi="Aptos" w:cs="Arial"/>
          </w:rPr>
          <w:t>https://doi.org/10.1007/978-3-031-33177-0_11</w:t>
        </w:r>
      </w:hyperlink>
      <w:r w:rsidRPr="2564356A">
        <w:rPr>
          <w:rFonts w:ascii="Aptos" w:eastAsia="Aptos" w:hAnsi="Aptos" w:cs="Arial"/>
        </w:rPr>
        <w:t xml:space="preserve"> </w:t>
      </w:r>
    </w:p>
    <w:p w14:paraId="4A899FFB" w14:textId="77777777" w:rsidR="00215E6A" w:rsidRDefault="00215E6A" w:rsidP="00215E6A">
      <w:pPr>
        <w:rPr>
          <w:rFonts w:ascii="Aptos" w:eastAsia="Aptos" w:hAnsi="Aptos" w:cs="Arial"/>
        </w:rPr>
      </w:pPr>
      <w:r w:rsidRPr="2564356A">
        <w:rPr>
          <w:rFonts w:ascii="Aptos" w:eastAsia="Aptos" w:hAnsi="Aptos" w:cs="Arial"/>
        </w:rPr>
        <w:t>Mitchell, R. (2013). What is professional development, how does it occur in individuals, and how may it be used by educational leaders and managers for the purpose of school improvement? </w:t>
      </w:r>
      <w:r w:rsidRPr="2564356A">
        <w:rPr>
          <w:rFonts w:ascii="Aptos" w:eastAsia="Aptos" w:hAnsi="Aptos" w:cs="Arial"/>
          <w:i/>
          <w:iCs/>
        </w:rPr>
        <w:t>Professional development in education</w:t>
      </w:r>
      <w:r w:rsidRPr="2564356A">
        <w:rPr>
          <w:rFonts w:ascii="Aptos" w:eastAsia="Aptos" w:hAnsi="Aptos" w:cs="Arial"/>
        </w:rPr>
        <w:t>, </w:t>
      </w:r>
      <w:r w:rsidRPr="2564356A">
        <w:rPr>
          <w:rFonts w:ascii="Aptos" w:eastAsia="Aptos" w:hAnsi="Aptos" w:cs="Arial"/>
          <w:i/>
          <w:iCs/>
        </w:rPr>
        <w:t>39</w:t>
      </w:r>
      <w:r w:rsidRPr="2564356A">
        <w:rPr>
          <w:rFonts w:ascii="Aptos" w:eastAsia="Aptos" w:hAnsi="Aptos" w:cs="Arial"/>
        </w:rPr>
        <w:t xml:space="preserve">(3), 387-400. </w:t>
      </w:r>
    </w:p>
    <w:p w14:paraId="1CCB3501" w14:textId="77777777" w:rsidR="00215E6A" w:rsidRDefault="00215E6A" w:rsidP="00215E6A">
      <w:pPr>
        <w:rPr>
          <w:rFonts w:ascii="Aptos" w:eastAsia="Aptos" w:hAnsi="Aptos" w:cs="Arial"/>
        </w:rPr>
      </w:pPr>
      <w:r w:rsidRPr="2564356A">
        <w:rPr>
          <w:rFonts w:ascii="Aptos" w:eastAsia="Aptos" w:hAnsi="Aptos" w:cs="Arial"/>
        </w:rPr>
        <w:t xml:space="preserve">Paré, G., Trudel, M. C., Jaana, M., &amp; </w:t>
      </w:r>
      <w:proofErr w:type="spellStart"/>
      <w:r w:rsidRPr="2564356A">
        <w:rPr>
          <w:rFonts w:ascii="Aptos" w:eastAsia="Aptos" w:hAnsi="Aptos" w:cs="Arial"/>
        </w:rPr>
        <w:t>Kitsiou</w:t>
      </w:r>
      <w:proofErr w:type="spellEnd"/>
      <w:r w:rsidRPr="2564356A">
        <w:rPr>
          <w:rFonts w:ascii="Aptos" w:eastAsia="Aptos" w:hAnsi="Aptos" w:cs="Arial"/>
        </w:rPr>
        <w:t xml:space="preserve">, S. (2015). Synthesizing information systems knowledge: A typology of literature reviews. </w:t>
      </w:r>
      <w:r w:rsidRPr="2564356A">
        <w:rPr>
          <w:rFonts w:ascii="Aptos" w:eastAsia="Aptos" w:hAnsi="Aptos" w:cs="Arial"/>
          <w:i/>
          <w:iCs/>
        </w:rPr>
        <w:t>Information &amp; management</w:t>
      </w:r>
      <w:r w:rsidRPr="2564356A">
        <w:rPr>
          <w:rFonts w:ascii="Aptos" w:eastAsia="Aptos" w:hAnsi="Aptos" w:cs="Arial"/>
        </w:rPr>
        <w:t xml:space="preserve">, </w:t>
      </w:r>
      <w:r w:rsidRPr="2564356A">
        <w:rPr>
          <w:rFonts w:ascii="Aptos" w:eastAsia="Aptos" w:hAnsi="Aptos" w:cs="Arial"/>
          <w:i/>
          <w:iCs/>
        </w:rPr>
        <w:t>52</w:t>
      </w:r>
      <w:r w:rsidRPr="2564356A">
        <w:rPr>
          <w:rFonts w:ascii="Aptos" w:eastAsia="Aptos" w:hAnsi="Aptos" w:cs="Arial"/>
        </w:rPr>
        <w:t>(2), 183-199.</w:t>
      </w:r>
    </w:p>
    <w:p w14:paraId="3ABD3284" w14:textId="77777777" w:rsidR="00215E6A" w:rsidRDefault="00215E6A" w:rsidP="00215E6A">
      <w:pPr>
        <w:rPr>
          <w:rFonts w:ascii="Aptos" w:eastAsia="Aptos" w:hAnsi="Aptos" w:cs="Arial"/>
        </w:rPr>
      </w:pPr>
      <w:r w:rsidRPr="2564356A">
        <w:rPr>
          <w:rFonts w:ascii="Aptos" w:eastAsia="Aptos" w:hAnsi="Aptos" w:cs="Arial"/>
        </w:rPr>
        <w:t xml:space="preserve">Pritchard, G. (2008). </w:t>
      </w:r>
      <w:r w:rsidRPr="2564356A">
        <w:rPr>
          <w:rFonts w:ascii="Aptos" w:eastAsia="Aptos" w:hAnsi="Aptos" w:cs="Arial"/>
          <w:i/>
          <w:iCs/>
        </w:rPr>
        <w:t>The student's guide to studying at university</w:t>
      </w:r>
      <w:r w:rsidRPr="2564356A">
        <w:rPr>
          <w:rFonts w:ascii="Aptos" w:eastAsia="Aptos" w:hAnsi="Aptos" w:cs="Arial"/>
        </w:rPr>
        <w:t xml:space="preserve">. SAGE Publications. </w:t>
      </w:r>
    </w:p>
    <w:p w14:paraId="0747D2EA" w14:textId="77777777" w:rsidR="00215E6A" w:rsidRDefault="00215E6A" w:rsidP="00215E6A">
      <w:pPr>
        <w:rPr>
          <w:rFonts w:ascii="Aptos" w:eastAsia="Aptos" w:hAnsi="Aptos" w:cs="Arial"/>
        </w:rPr>
      </w:pPr>
      <w:r w:rsidRPr="2564356A">
        <w:rPr>
          <w:rFonts w:ascii="Aptos" w:eastAsia="Aptos" w:hAnsi="Aptos" w:cs="Arial"/>
        </w:rPr>
        <w:t xml:space="preserve">Russo-Converso, J. A., &amp; Offutt, R. D. (2009). A Large-Scale Model for Working with Subject Matter Experts. In </w:t>
      </w:r>
      <w:proofErr w:type="spellStart"/>
      <w:r w:rsidRPr="2564356A">
        <w:rPr>
          <w:rFonts w:ascii="Aptos" w:eastAsia="Aptos" w:hAnsi="Aptos" w:cs="Arial"/>
        </w:rPr>
        <w:t>Encyclopedia</w:t>
      </w:r>
      <w:proofErr w:type="spellEnd"/>
      <w:r w:rsidRPr="2564356A">
        <w:rPr>
          <w:rFonts w:ascii="Aptos" w:eastAsia="Aptos" w:hAnsi="Aptos" w:cs="Arial"/>
        </w:rPr>
        <w:t xml:space="preserve"> of Distance Learning, Second Edition (pp. 1319-1329). IGI Global. </w:t>
      </w:r>
    </w:p>
    <w:p w14:paraId="69731021" w14:textId="77777777" w:rsidR="00215E6A" w:rsidRPr="00406763" w:rsidRDefault="00215E6A" w:rsidP="00215E6A">
      <w:pPr>
        <w:rPr>
          <w:rFonts w:ascii="Aptos" w:eastAsia="Aptos" w:hAnsi="Aptos" w:cs="Arial"/>
          <w:lang w:val="es-PE"/>
        </w:rPr>
      </w:pPr>
      <w:proofErr w:type="spellStart"/>
      <w:r w:rsidRPr="2564356A">
        <w:rPr>
          <w:rFonts w:ascii="Aptos" w:eastAsia="Aptos" w:hAnsi="Aptos" w:cs="Arial"/>
        </w:rPr>
        <w:t>Sileyew</w:t>
      </w:r>
      <w:proofErr w:type="spellEnd"/>
      <w:r w:rsidRPr="2564356A">
        <w:rPr>
          <w:rFonts w:ascii="Aptos" w:eastAsia="Aptos" w:hAnsi="Aptos" w:cs="Arial"/>
        </w:rPr>
        <w:t>, K. J. (2019). </w:t>
      </w:r>
      <w:r w:rsidRPr="2564356A">
        <w:rPr>
          <w:rFonts w:ascii="Aptos" w:eastAsia="Aptos" w:hAnsi="Aptos" w:cs="Arial"/>
          <w:i/>
          <w:iCs/>
        </w:rPr>
        <w:t>Research design and methodology</w:t>
      </w:r>
      <w:r w:rsidRPr="2564356A">
        <w:rPr>
          <w:rFonts w:ascii="Aptos" w:eastAsia="Aptos" w:hAnsi="Aptos" w:cs="Arial"/>
        </w:rPr>
        <w:t xml:space="preserve"> (Vol. 7, pp. 1-12). </w:t>
      </w:r>
      <w:r w:rsidRPr="00406763">
        <w:rPr>
          <w:rFonts w:ascii="Aptos" w:eastAsia="Aptos" w:hAnsi="Aptos" w:cs="Arial"/>
          <w:lang w:val="es-PE"/>
        </w:rPr>
        <w:t xml:space="preserve">London: Cyberspace. </w:t>
      </w:r>
    </w:p>
    <w:p w14:paraId="7E3EB9DF" w14:textId="77777777" w:rsidR="00215E6A" w:rsidRDefault="00215E6A" w:rsidP="00215E6A">
      <w:pPr>
        <w:rPr>
          <w:rFonts w:ascii="Aptos" w:eastAsia="Aptos" w:hAnsi="Aptos" w:cs="Arial"/>
        </w:rPr>
      </w:pPr>
      <w:r w:rsidRPr="2564356A">
        <w:rPr>
          <w:rFonts w:ascii="Aptos" w:eastAsia="Aptos" w:hAnsi="Aptos" w:cs="Arial"/>
          <w:lang w:val="es-PE"/>
        </w:rPr>
        <w:t xml:space="preserve">Suarta, I. M., Suwintana, I. K., Sudiadnyani, I. G. A. O., &amp; Sintadevi, N. P. R. (2024). </w:t>
      </w:r>
      <w:r w:rsidRPr="2564356A">
        <w:rPr>
          <w:rFonts w:ascii="Aptos" w:eastAsia="Aptos" w:hAnsi="Aptos" w:cs="Arial"/>
        </w:rPr>
        <w:t xml:space="preserve">Employability and digital technology: what skills employers want from accounting workers? </w:t>
      </w:r>
      <w:r w:rsidRPr="2564356A">
        <w:rPr>
          <w:rFonts w:ascii="Aptos" w:eastAsia="Aptos" w:hAnsi="Aptos" w:cs="Arial"/>
          <w:i/>
          <w:iCs/>
        </w:rPr>
        <w:t>Accounting Education</w:t>
      </w:r>
      <w:r w:rsidRPr="2564356A">
        <w:rPr>
          <w:rFonts w:ascii="Aptos" w:eastAsia="Aptos" w:hAnsi="Aptos" w:cs="Arial"/>
        </w:rPr>
        <w:t xml:space="preserve">, </w:t>
      </w:r>
      <w:r w:rsidRPr="2564356A">
        <w:rPr>
          <w:rFonts w:ascii="Aptos" w:eastAsia="Aptos" w:hAnsi="Aptos" w:cs="Arial"/>
          <w:i/>
          <w:iCs/>
        </w:rPr>
        <w:t>33</w:t>
      </w:r>
      <w:r w:rsidRPr="2564356A">
        <w:rPr>
          <w:rFonts w:ascii="Aptos" w:eastAsia="Aptos" w:hAnsi="Aptos" w:cs="Arial"/>
        </w:rPr>
        <w:t xml:space="preserve">(3), 274-295.  </w:t>
      </w:r>
    </w:p>
    <w:p w14:paraId="476D91D4" w14:textId="77777777" w:rsidR="00215E6A" w:rsidRDefault="00215E6A" w:rsidP="00215E6A">
      <w:pPr>
        <w:rPr>
          <w:rFonts w:ascii="Aptos" w:eastAsia="Aptos" w:hAnsi="Aptos" w:cs="Arial"/>
        </w:rPr>
      </w:pPr>
      <w:r w:rsidRPr="2564356A">
        <w:rPr>
          <w:rFonts w:ascii="Aptos" w:eastAsia="Aptos" w:hAnsi="Aptos" w:cs="Arial"/>
        </w:rPr>
        <w:t xml:space="preserve">Turner, J.R. (2023). Literature Reviews: An Overview of Systematic, Integrated, and Scoping Reviews. In: Jagadeesh, G., Balakumar, P., Senatore, F. (eds) The Quintessence of Basic and Clinical Research and Scientific Publishing. Springer, Singapore. </w:t>
      </w:r>
      <w:hyperlink r:id="rId9">
        <w:r w:rsidRPr="2564356A">
          <w:rPr>
            <w:rStyle w:val="Hyperlink"/>
            <w:rFonts w:ascii="Aptos" w:eastAsia="Aptos" w:hAnsi="Aptos" w:cs="Arial"/>
          </w:rPr>
          <w:t>https://doi.org/10.1007/978-981-99-1284-1_38</w:t>
        </w:r>
      </w:hyperlink>
      <w:r w:rsidRPr="2564356A">
        <w:rPr>
          <w:rFonts w:ascii="Aptos" w:eastAsia="Aptos" w:hAnsi="Aptos" w:cs="Arial"/>
        </w:rPr>
        <w:t xml:space="preserve">  </w:t>
      </w:r>
    </w:p>
    <w:p w14:paraId="5180488F" w14:textId="77777777" w:rsidR="00215E6A" w:rsidRDefault="00215E6A" w:rsidP="00215E6A">
      <w:pPr>
        <w:rPr>
          <w:rFonts w:ascii="Aptos" w:eastAsia="Aptos" w:hAnsi="Aptos" w:cs="Arial"/>
        </w:rPr>
      </w:pPr>
      <w:r w:rsidRPr="2564356A">
        <w:rPr>
          <w:rFonts w:ascii="Aptos" w:eastAsia="Aptos" w:hAnsi="Aptos" w:cs="Arial"/>
        </w:rPr>
        <w:t xml:space="preserve">van Dongen, A. (2022). Managing Research Projects. In </w:t>
      </w:r>
      <w:r w:rsidRPr="2564356A">
        <w:rPr>
          <w:rFonts w:ascii="Aptos" w:eastAsia="Aptos" w:hAnsi="Aptos" w:cs="Arial"/>
          <w:i/>
          <w:iCs/>
        </w:rPr>
        <w:t>Survival Guide for Early Career Researchers</w:t>
      </w:r>
      <w:r w:rsidRPr="2564356A">
        <w:rPr>
          <w:rFonts w:ascii="Aptos" w:eastAsia="Aptos" w:hAnsi="Aptos" w:cs="Arial"/>
        </w:rPr>
        <w:t xml:space="preserve"> (pp. 75-88). Cham: Springer International Publishing.  </w:t>
      </w:r>
    </w:p>
    <w:p w14:paraId="416C67EC" w14:textId="77777777" w:rsidR="00215E6A" w:rsidRDefault="00215E6A" w:rsidP="00215E6A">
      <w:pPr>
        <w:rPr>
          <w:rFonts w:ascii="Aptos" w:eastAsia="Aptos" w:hAnsi="Aptos" w:cs="Arial"/>
        </w:rPr>
      </w:pPr>
      <w:r w:rsidRPr="2564356A">
        <w:rPr>
          <w:rFonts w:ascii="Aptos" w:eastAsia="Aptos" w:hAnsi="Aptos" w:cs="Arial"/>
        </w:rPr>
        <w:t>Wanberg, C. R., Ali, A. A., &amp; Csillag, B. (2020). Job seeking: The process and experience of looking for a job. </w:t>
      </w:r>
      <w:r w:rsidRPr="2564356A">
        <w:rPr>
          <w:rFonts w:ascii="Aptos" w:eastAsia="Aptos" w:hAnsi="Aptos" w:cs="Arial"/>
          <w:i/>
          <w:iCs/>
        </w:rPr>
        <w:t xml:space="preserve">Annual Review of Organizational Psychology and Organizational </w:t>
      </w:r>
      <w:proofErr w:type="spellStart"/>
      <w:r w:rsidRPr="2564356A">
        <w:rPr>
          <w:rFonts w:ascii="Aptos" w:eastAsia="Aptos" w:hAnsi="Aptos" w:cs="Arial"/>
          <w:i/>
          <w:iCs/>
        </w:rPr>
        <w:t>Behavior</w:t>
      </w:r>
      <w:proofErr w:type="spellEnd"/>
      <w:r w:rsidRPr="2564356A">
        <w:rPr>
          <w:rFonts w:ascii="Aptos" w:eastAsia="Aptos" w:hAnsi="Aptos" w:cs="Arial"/>
        </w:rPr>
        <w:t>, </w:t>
      </w:r>
      <w:r w:rsidRPr="2564356A">
        <w:rPr>
          <w:rFonts w:ascii="Aptos" w:eastAsia="Aptos" w:hAnsi="Aptos" w:cs="Arial"/>
          <w:i/>
          <w:iCs/>
        </w:rPr>
        <w:t>7</w:t>
      </w:r>
      <w:r w:rsidRPr="2564356A">
        <w:rPr>
          <w:rFonts w:ascii="Aptos" w:eastAsia="Aptos" w:hAnsi="Aptos" w:cs="Arial"/>
        </w:rPr>
        <w:t xml:space="preserve">(1), 315-337. </w:t>
      </w:r>
    </w:p>
    <w:p w14:paraId="76DB97A1" w14:textId="77777777" w:rsidR="00215E6A" w:rsidRDefault="00215E6A" w:rsidP="00215E6A">
      <w:pPr>
        <w:rPr>
          <w:rFonts w:ascii="Aptos" w:eastAsia="Aptos" w:hAnsi="Aptos" w:cs="Arial"/>
        </w:rPr>
      </w:pPr>
      <w:proofErr w:type="spellStart"/>
      <w:r w:rsidRPr="2564356A">
        <w:rPr>
          <w:rFonts w:ascii="Aptos" w:eastAsia="Aptos" w:hAnsi="Aptos" w:cs="Arial"/>
        </w:rPr>
        <w:t>Ziam</w:t>
      </w:r>
      <w:proofErr w:type="spellEnd"/>
      <w:r w:rsidRPr="2564356A">
        <w:rPr>
          <w:rFonts w:ascii="Aptos" w:eastAsia="Aptos" w:hAnsi="Aptos" w:cs="Arial"/>
        </w:rPr>
        <w:t>, S., Lanoue, S., McSween-Cadieux, E., Gervais, M. J., Lane, J., Gaid, D., ... &amp; Prigent, O. (2024). A scoping review of theories, models and frameworks used or proposed to evaluate knowledge mobilization strategies. </w:t>
      </w:r>
      <w:r w:rsidRPr="2564356A">
        <w:rPr>
          <w:rFonts w:ascii="Aptos" w:eastAsia="Aptos" w:hAnsi="Aptos" w:cs="Arial"/>
          <w:i/>
          <w:iCs/>
        </w:rPr>
        <w:t>Health Research Policy and Systems</w:t>
      </w:r>
      <w:r w:rsidRPr="2564356A">
        <w:rPr>
          <w:rFonts w:ascii="Aptos" w:eastAsia="Aptos" w:hAnsi="Aptos" w:cs="Arial"/>
        </w:rPr>
        <w:t>, </w:t>
      </w:r>
      <w:r w:rsidRPr="2564356A">
        <w:rPr>
          <w:rFonts w:ascii="Aptos" w:eastAsia="Aptos" w:hAnsi="Aptos" w:cs="Arial"/>
          <w:i/>
          <w:iCs/>
        </w:rPr>
        <w:t>22</w:t>
      </w:r>
      <w:r w:rsidRPr="2564356A">
        <w:rPr>
          <w:rFonts w:ascii="Aptos" w:eastAsia="Aptos" w:hAnsi="Aptos" w:cs="Arial"/>
        </w:rPr>
        <w:t>(1), 8. </w:t>
      </w:r>
    </w:p>
    <w:p w14:paraId="615505F4" w14:textId="77777777" w:rsidR="00215E6A" w:rsidRDefault="00215E6A" w:rsidP="00215E6A">
      <w:pPr>
        <w:rPr>
          <w:b/>
          <w:bCs/>
        </w:rPr>
      </w:pPr>
    </w:p>
    <w:p w14:paraId="15D25542" w14:textId="77777777" w:rsidR="00215E6A" w:rsidRDefault="00215E6A" w:rsidP="00215E6A"/>
    <w:p w14:paraId="09E4E166" w14:textId="77777777" w:rsidR="00215E6A" w:rsidRDefault="00215E6A" w:rsidP="009561AC">
      <w:pPr>
        <w:rPr>
          <w:b/>
          <w:bCs/>
          <w:color w:val="262626" w:themeColor="text1" w:themeTint="D9"/>
          <w:sz w:val="46"/>
          <w:szCs w:val="46"/>
        </w:rPr>
      </w:pPr>
    </w:p>
    <w:p w14:paraId="3C8AA54A" w14:textId="77777777" w:rsidR="00215E6A" w:rsidRDefault="00215E6A" w:rsidP="009561AC">
      <w:pPr>
        <w:rPr>
          <w:b/>
          <w:bCs/>
          <w:color w:val="262626" w:themeColor="text1" w:themeTint="D9"/>
          <w:sz w:val="46"/>
          <w:szCs w:val="46"/>
        </w:rPr>
      </w:pPr>
    </w:p>
    <w:sectPr w:rsidR="00215E6A" w:rsidSect="00CB50AC">
      <w:headerReference w:type="default" r:id="rId10"/>
      <w:pgSz w:w="16840" w:h="23808" w:code="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A44C" w14:textId="77777777" w:rsidR="0002557E" w:rsidRDefault="0002557E" w:rsidP="008C0D95">
      <w:pPr>
        <w:spacing w:after="0" w:line="240" w:lineRule="auto"/>
      </w:pPr>
      <w:r>
        <w:separator/>
      </w:r>
    </w:p>
  </w:endnote>
  <w:endnote w:type="continuationSeparator" w:id="0">
    <w:p w14:paraId="07E6B3EE" w14:textId="77777777" w:rsidR="0002557E" w:rsidRDefault="0002557E" w:rsidP="008C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9680" w14:textId="77777777" w:rsidR="0002557E" w:rsidRDefault="0002557E" w:rsidP="008C0D95">
      <w:pPr>
        <w:spacing w:after="0" w:line="240" w:lineRule="auto"/>
      </w:pPr>
      <w:r>
        <w:separator/>
      </w:r>
    </w:p>
  </w:footnote>
  <w:footnote w:type="continuationSeparator" w:id="0">
    <w:p w14:paraId="77157BB6" w14:textId="77777777" w:rsidR="0002557E" w:rsidRDefault="0002557E" w:rsidP="008C0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3A79" w14:textId="24BD0B08" w:rsidR="008C0D95" w:rsidRPr="009041B3" w:rsidRDefault="008C0D95" w:rsidP="008C0D95">
    <w:pPr>
      <w:pStyle w:val="Header"/>
      <w:jc w:val="right"/>
      <w:rPr>
        <w:sz w:val="26"/>
        <w:szCs w:val="26"/>
      </w:rPr>
    </w:pPr>
    <w:r w:rsidRPr="009041B3">
      <w:rPr>
        <w:sz w:val="26"/>
        <w:szCs w:val="26"/>
      </w:rPr>
      <w:t>Faculty of Graduate Research (FGR)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396B"/>
    <w:multiLevelType w:val="multilevel"/>
    <w:tmpl w:val="F366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4135F"/>
    <w:multiLevelType w:val="multilevel"/>
    <w:tmpl w:val="AB3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E5EC1"/>
    <w:multiLevelType w:val="hybridMultilevel"/>
    <w:tmpl w:val="E1484BA2"/>
    <w:lvl w:ilvl="0" w:tplc="F16AF218">
      <w:start w:val="1"/>
      <w:numFmt w:val="decimal"/>
      <w:lvlText w:val="•"/>
      <w:lvlJc w:val="left"/>
      <w:pPr>
        <w:ind w:left="720" w:hanging="360"/>
      </w:pPr>
    </w:lvl>
    <w:lvl w:ilvl="1" w:tplc="4B10FDC6">
      <w:start w:val="1"/>
      <w:numFmt w:val="lowerLetter"/>
      <w:lvlText w:val="%2."/>
      <w:lvlJc w:val="left"/>
      <w:pPr>
        <w:ind w:left="1440" w:hanging="360"/>
      </w:pPr>
    </w:lvl>
    <w:lvl w:ilvl="2" w:tplc="382A142E">
      <w:start w:val="1"/>
      <w:numFmt w:val="lowerRoman"/>
      <w:lvlText w:val="%3."/>
      <w:lvlJc w:val="right"/>
      <w:pPr>
        <w:ind w:left="2160" w:hanging="180"/>
      </w:pPr>
    </w:lvl>
    <w:lvl w:ilvl="3" w:tplc="8424EF66">
      <w:start w:val="1"/>
      <w:numFmt w:val="decimal"/>
      <w:lvlText w:val="%4."/>
      <w:lvlJc w:val="left"/>
      <w:pPr>
        <w:ind w:left="2880" w:hanging="360"/>
      </w:pPr>
    </w:lvl>
    <w:lvl w:ilvl="4" w:tplc="D9C28D20">
      <w:start w:val="1"/>
      <w:numFmt w:val="lowerLetter"/>
      <w:lvlText w:val="%5."/>
      <w:lvlJc w:val="left"/>
      <w:pPr>
        <w:ind w:left="3600" w:hanging="360"/>
      </w:pPr>
    </w:lvl>
    <w:lvl w:ilvl="5" w:tplc="7E10C87E">
      <w:start w:val="1"/>
      <w:numFmt w:val="lowerRoman"/>
      <w:lvlText w:val="%6."/>
      <w:lvlJc w:val="right"/>
      <w:pPr>
        <w:ind w:left="4320" w:hanging="180"/>
      </w:pPr>
    </w:lvl>
    <w:lvl w:ilvl="6" w:tplc="2F3C8D08">
      <w:start w:val="1"/>
      <w:numFmt w:val="decimal"/>
      <w:lvlText w:val="%7."/>
      <w:lvlJc w:val="left"/>
      <w:pPr>
        <w:ind w:left="5040" w:hanging="360"/>
      </w:pPr>
    </w:lvl>
    <w:lvl w:ilvl="7" w:tplc="EAB84516">
      <w:start w:val="1"/>
      <w:numFmt w:val="lowerLetter"/>
      <w:lvlText w:val="%8."/>
      <w:lvlJc w:val="left"/>
      <w:pPr>
        <w:ind w:left="5760" w:hanging="360"/>
      </w:pPr>
    </w:lvl>
    <w:lvl w:ilvl="8" w:tplc="E1DC4B5C">
      <w:start w:val="1"/>
      <w:numFmt w:val="lowerRoman"/>
      <w:lvlText w:val="%9."/>
      <w:lvlJc w:val="right"/>
      <w:pPr>
        <w:ind w:left="6480" w:hanging="180"/>
      </w:pPr>
    </w:lvl>
  </w:abstractNum>
  <w:abstractNum w:abstractNumId="3" w15:restartNumberingAfterBreak="0">
    <w:nsid w:val="37F60BDA"/>
    <w:multiLevelType w:val="multilevel"/>
    <w:tmpl w:val="D8FA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C6DDA"/>
    <w:multiLevelType w:val="multilevel"/>
    <w:tmpl w:val="39D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1222D"/>
    <w:multiLevelType w:val="hybridMultilevel"/>
    <w:tmpl w:val="E02EE0F4"/>
    <w:lvl w:ilvl="0" w:tplc="FFFFFFFF">
      <w:start w:val="1"/>
      <w:numFmt w:val="bullet"/>
      <w:lvlText w:val="•"/>
      <w:lvlJc w:val="left"/>
      <w:pPr>
        <w:ind w:left="737" w:hanging="377"/>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BF0517"/>
    <w:multiLevelType w:val="multilevel"/>
    <w:tmpl w:val="F892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04915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16cid:durableId="24657626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16cid:durableId="166778383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830146963">
    <w:abstractNumId w:val="1"/>
  </w:num>
  <w:num w:numId="5" w16cid:durableId="419183505">
    <w:abstractNumId w:val="0"/>
  </w:num>
  <w:num w:numId="6" w16cid:durableId="1013996556">
    <w:abstractNumId w:val="2"/>
  </w:num>
  <w:num w:numId="7" w16cid:durableId="1042632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5F"/>
    <w:rsid w:val="000034B2"/>
    <w:rsid w:val="0000533A"/>
    <w:rsid w:val="00007788"/>
    <w:rsid w:val="00017195"/>
    <w:rsid w:val="00017A61"/>
    <w:rsid w:val="00017E8C"/>
    <w:rsid w:val="00020DBB"/>
    <w:rsid w:val="00024929"/>
    <w:rsid w:val="0002557E"/>
    <w:rsid w:val="000256E9"/>
    <w:rsid w:val="00026724"/>
    <w:rsid w:val="0003137C"/>
    <w:rsid w:val="000345D9"/>
    <w:rsid w:val="000370D1"/>
    <w:rsid w:val="00037CC8"/>
    <w:rsid w:val="00047187"/>
    <w:rsid w:val="00052015"/>
    <w:rsid w:val="0005350F"/>
    <w:rsid w:val="00053D53"/>
    <w:rsid w:val="000644F6"/>
    <w:rsid w:val="00070216"/>
    <w:rsid w:val="00070358"/>
    <w:rsid w:val="00070692"/>
    <w:rsid w:val="000815E2"/>
    <w:rsid w:val="00086931"/>
    <w:rsid w:val="000904F5"/>
    <w:rsid w:val="0009086F"/>
    <w:rsid w:val="000A27EA"/>
    <w:rsid w:val="000A724C"/>
    <w:rsid w:val="000C0F02"/>
    <w:rsid w:val="000C37A8"/>
    <w:rsid w:val="000C3E54"/>
    <w:rsid w:val="000D11DD"/>
    <w:rsid w:val="000D4830"/>
    <w:rsid w:val="000D72DD"/>
    <w:rsid w:val="000E161A"/>
    <w:rsid w:val="000E2EA6"/>
    <w:rsid w:val="000F0949"/>
    <w:rsid w:val="000F3D74"/>
    <w:rsid w:val="00100341"/>
    <w:rsid w:val="001013EB"/>
    <w:rsid w:val="00101873"/>
    <w:rsid w:val="001045C2"/>
    <w:rsid w:val="00106CA7"/>
    <w:rsid w:val="0010757D"/>
    <w:rsid w:val="00107918"/>
    <w:rsid w:val="00107BA0"/>
    <w:rsid w:val="00107C9B"/>
    <w:rsid w:val="001119EB"/>
    <w:rsid w:val="00112FDF"/>
    <w:rsid w:val="0011397B"/>
    <w:rsid w:val="001166B1"/>
    <w:rsid w:val="001242B7"/>
    <w:rsid w:val="00130A55"/>
    <w:rsid w:val="00130E27"/>
    <w:rsid w:val="00133322"/>
    <w:rsid w:val="00134D9A"/>
    <w:rsid w:val="00135DBA"/>
    <w:rsid w:val="00137C7D"/>
    <w:rsid w:val="00137D1E"/>
    <w:rsid w:val="00141CFA"/>
    <w:rsid w:val="00145FFE"/>
    <w:rsid w:val="0014765F"/>
    <w:rsid w:val="00147BCC"/>
    <w:rsid w:val="0016320C"/>
    <w:rsid w:val="00163A1A"/>
    <w:rsid w:val="00164F3E"/>
    <w:rsid w:val="00165F08"/>
    <w:rsid w:val="0016797D"/>
    <w:rsid w:val="00170DBE"/>
    <w:rsid w:val="00174891"/>
    <w:rsid w:val="0018042F"/>
    <w:rsid w:val="001834A3"/>
    <w:rsid w:val="001846C7"/>
    <w:rsid w:val="00185386"/>
    <w:rsid w:val="00191662"/>
    <w:rsid w:val="001A68D3"/>
    <w:rsid w:val="001A7E3C"/>
    <w:rsid w:val="001B6FD8"/>
    <w:rsid w:val="001C37DF"/>
    <w:rsid w:val="001C506C"/>
    <w:rsid w:val="001D1A2B"/>
    <w:rsid w:val="001E257D"/>
    <w:rsid w:val="001F203F"/>
    <w:rsid w:val="001F3345"/>
    <w:rsid w:val="001F4ED0"/>
    <w:rsid w:val="001F511D"/>
    <w:rsid w:val="00211C12"/>
    <w:rsid w:val="00215E6A"/>
    <w:rsid w:val="00220E4D"/>
    <w:rsid w:val="00221305"/>
    <w:rsid w:val="00221D51"/>
    <w:rsid w:val="00222CF3"/>
    <w:rsid w:val="00224D90"/>
    <w:rsid w:val="002355A0"/>
    <w:rsid w:val="0023768C"/>
    <w:rsid w:val="002431A7"/>
    <w:rsid w:val="00245874"/>
    <w:rsid w:val="002606C5"/>
    <w:rsid w:val="00266EB8"/>
    <w:rsid w:val="002723F9"/>
    <w:rsid w:val="0027589E"/>
    <w:rsid w:val="00276165"/>
    <w:rsid w:val="00277017"/>
    <w:rsid w:val="002820D9"/>
    <w:rsid w:val="00291AEF"/>
    <w:rsid w:val="00292289"/>
    <w:rsid w:val="002957B0"/>
    <w:rsid w:val="00296B1B"/>
    <w:rsid w:val="002B30C2"/>
    <w:rsid w:val="002B32E9"/>
    <w:rsid w:val="002C08B9"/>
    <w:rsid w:val="002C2CAA"/>
    <w:rsid w:val="002C415B"/>
    <w:rsid w:val="002C5685"/>
    <w:rsid w:val="002D0EE8"/>
    <w:rsid w:val="002D4CBF"/>
    <w:rsid w:val="002D69E0"/>
    <w:rsid w:val="002D7DB3"/>
    <w:rsid w:val="002F078A"/>
    <w:rsid w:val="002F373F"/>
    <w:rsid w:val="00301941"/>
    <w:rsid w:val="00304E6A"/>
    <w:rsid w:val="00306220"/>
    <w:rsid w:val="003077C3"/>
    <w:rsid w:val="00307B5C"/>
    <w:rsid w:val="00307EAA"/>
    <w:rsid w:val="0031007E"/>
    <w:rsid w:val="00310296"/>
    <w:rsid w:val="003137C0"/>
    <w:rsid w:val="003205B9"/>
    <w:rsid w:val="00321F81"/>
    <w:rsid w:val="00327B8E"/>
    <w:rsid w:val="00336904"/>
    <w:rsid w:val="003455C7"/>
    <w:rsid w:val="00354299"/>
    <w:rsid w:val="00355866"/>
    <w:rsid w:val="00356247"/>
    <w:rsid w:val="00360EB8"/>
    <w:rsid w:val="003617DB"/>
    <w:rsid w:val="00364D57"/>
    <w:rsid w:val="00374B4A"/>
    <w:rsid w:val="00377B77"/>
    <w:rsid w:val="00387682"/>
    <w:rsid w:val="003A016E"/>
    <w:rsid w:val="003A250F"/>
    <w:rsid w:val="003A2C7F"/>
    <w:rsid w:val="003A6A31"/>
    <w:rsid w:val="003A6D94"/>
    <w:rsid w:val="003B54D2"/>
    <w:rsid w:val="003E3738"/>
    <w:rsid w:val="003E3C49"/>
    <w:rsid w:val="003E6765"/>
    <w:rsid w:val="003F35D3"/>
    <w:rsid w:val="003F69F1"/>
    <w:rsid w:val="003F6A9B"/>
    <w:rsid w:val="003F6DD3"/>
    <w:rsid w:val="004004A3"/>
    <w:rsid w:val="00412F40"/>
    <w:rsid w:val="00415765"/>
    <w:rsid w:val="0042101D"/>
    <w:rsid w:val="00421180"/>
    <w:rsid w:val="0043156E"/>
    <w:rsid w:val="00434A37"/>
    <w:rsid w:val="00445524"/>
    <w:rsid w:val="00463736"/>
    <w:rsid w:val="0047338C"/>
    <w:rsid w:val="00473602"/>
    <w:rsid w:val="00480FA1"/>
    <w:rsid w:val="004816E7"/>
    <w:rsid w:val="00482688"/>
    <w:rsid w:val="00485D24"/>
    <w:rsid w:val="0048625B"/>
    <w:rsid w:val="00486803"/>
    <w:rsid w:val="00487E4B"/>
    <w:rsid w:val="004936F0"/>
    <w:rsid w:val="00496D79"/>
    <w:rsid w:val="00497C2A"/>
    <w:rsid w:val="004A03B8"/>
    <w:rsid w:val="004A1579"/>
    <w:rsid w:val="004A22C4"/>
    <w:rsid w:val="004A5789"/>
    <w:rsid w:val="004B0A4C"/>
    <w:rsid w:val="004B18AF"/>
    <w:rsid w:val="004B6BA4"/>
    <w:rsid w:val="004C5EDF"/>
    <w:rsid w:val="004D31E2"/>
    <w:rsid w:val="004D4F13"/>
    <w:rsid w:val="004E39AC"/>
    <w:rsid w:val="004E3ADA"/>
    <w:rsid w:val="004E553B"/>
    <w:rsid w:val="004E5A40"/>
    <w:rsid w:val="004F1DCF"/>
    <w:rsid w:val="004F5182"/>
    <w:rsid w:val="00500665"/>
    <w:rsid w:val="0050230F"/>
    <w:rsid w:val="00503866"/>
    <w:rsid w:val="00507A0B"/>
    <w:rsid w:val="005115BD"/>
    <w:rsid w:val="00511AE0"/>
    <w:rsid w:val="00523BF7"/>
    <w:rsid w:val="0052508D"/>
    <w:rsid w:val="00527935"/>
    <w:rsid w:val="00531E3A"/>
    <w:rsid w:val="005367D1"/>
    <w:rsid w:val="0054019C"/>
    <w:rsid w:val="005442B5"/>
    <w:rsid w:val="005471B3"/>
    <w:rsid w:val="00554E74"/>
    <w:rsid w:val="00556012"/>
    <w:rsid w:val="0055605E"/>
    <w:rsid w:val="00556989"/>
    <w:rsid w:val="00561D6E"/>
    <w:rsid w:val="005645BA"/>
    <w:rsid w:val="00566B91"/>
    <w:rsid w:val="00570A6F"/>
    <w:rsid w:val="0057206C"/>
    <w:rsid w:val="005720FB"/>
    <w:rsid w:val="00585522"/>
    <w:rsid w:val="00591CA9"/>
    <w:rsid w:val="0059461C"/>
    <w:rsid w:val="00595F84"/>
    <w:rsid w:val="005A1E18"/>
    <w:rsid w:val="005A1F48"/>
    <w:rsid w:val="005A288E"/>
    <w:rsid w:val="005B17DD"/>
    <w:rsid w:val="005B79D9"/>
    <w:rsid w:val="005C2E8C"/>
    <w:rsid w:val="005C61B6"/>
    <w:rsid w:val="005D404E"/>
    <w:rsid w:val="005D6FA3"/>
    <w:rsid w:val="005E22AF"/>
    <w:rsid w:val="005E2B2B"/>
    <w:rsid w:val="005E31E3"/>
    <w:rsid w:val="005E3F80"/>
    <w:rsid w:val="005F121C"/>
    <w:rsid w:val="005F32EF"/>
    <w:rsid w:val="005F3790"/>
    <w:rsid w:val="005F6E08"/>
    <w:rsid w:val="00605407"/>
    <w:rsid w:val="00612D57"/>
    <w:rsid w:val="00613018"/>
    <w:rsid w:val="006156FE"/>
    <w:rsid w:val="00616DC9"/>
    <w:rsid w:val="006209F1"/>
    <w:rsid w:val="00620EBA"/>
    <w:rsid w:val="006247C0"/>
    <w:rsid w:val="00645AE4"/>
    <w:rsid w:val="00646CCD"/>
    <w:rsid w:val="00662856"/>
    <w:rsid w:val="0066624F"/>
    <w:rsid w:val="00670CBD"/>
    <w:rsid w:val="00675783"/>
    <w:rsid w:val="0068192F"/>
    <w:rsid w:val="0068472D"/>
    <w:rsid w:val="00697AB8"/>
    <w:rsid w:val="006A227A"/>
    <w:rsid w:val="006A57C0"/>
    <w:rsid w:val="006A6357"/>
    <w:rsid w:val="006A72EC"/>
    <w:rsid w:val="006A78F9"/>
    <w:rsid w:val="006B1C46"/>
    <w:rsid w:val="006B3C08"/>
    <w:rsid w:val="006B4331"/>
    <w:rsid w:val="006C1A65"/>
    <w:rsid w:val="006D6B0D"/>
    <w:rsid w:val="006D77A4"/>
    <w:rsid w:val="006E3E13"/>
    <w:rsid w:val="006F24D2"/>
    <w:rsid w:val="006F6558"/>
    <w:rsid w:val="00713A0A"/>
    <w:rsid w:val="00715B6D"/>
    <w:rsid w:val="007170D1"/>
    <w:rsid w:val="00732CCF"/>
    <w:rsid w:val="007342A7"/>
    <w:rsid w:val="007457AD"/>
    <w:rsid w:val="00755C8E"/>
    <w:rsid w:val="00755E75"/>
    <w:rsid w:val="007776BE"/>
    <w:rsid w:val="00777E25"/>
    <w:rsid w:val="00780025"/>
    <w:rsid w:val="00781197"/>
    <w:rsid w:val="00783995"/>
    <w:rsid w:val="00787A1F"/>
    <w:rsid w:val="00791852"/>
    <w:rsid w:val="007A7731"/>
    <w:rsid w:val="007D413C"/>
    <w:rsid w:val="007E0929"/>
    <w:rsid w:val="007E295E"/>
    <w:rsid w:val="007F1A3B"/>
    <w:rsid w:val="007F5C7B"/>
    <w:rsid w:val="007F789C"/>
    <w:rsid w:val="008012A3"/>
    <w:rsid w:val="008057AA"/>
    <w:rsid w:val="00806283"/>
    <w:rsid w:val="00810CA9"/>
    <w:rsid w:val="00811F2E"/>
    <w:rsid w:val="008136FE"/>
    <w:rsid w:val="008164FA"/>
    <w:rsid w:val="008169AE"/>
    <w:rsid w:val="00817797"/>
    <w:rsid w:val="008232E4"/>
    <w:rsid w:val="00824A6A"/>
    <w:rsid w:val="00837457"/>
    <w:rsid w:val="00847C27"/>
    <w:rsid w:val="0085092C"/>
    <w:rsid w:val="00851F01"/>
    <w:rsid w:val="008564FB"/>
    <w:rsid w:val="00864152"/>
    <w:rsid w:val="008823FD"/>
    <w:rsid w:val="008851BC"/>
    <w:rsid w:val="00892576"/>
    <w:rsid w:val="0089301A"/>
    <w:rsid w:val="00895531"/>
    <w:rsid w:val="00895BBD"/>
    <w:rsid w:val="00895E6C"/>
    <w:rsid w:val="008A0218"/>
    <w:rsid w:val="008A1601"/>
    <w:rsid w:val="008A5EE5"/>
    <w:rsid w:val="008A6B6A"/>
    <w:rsid w:val="008B0D03"/>
    <w:rsid w:val="008B3DD2"/>
    <w:rsid w:val="008B76F4"/>
    <w:rsid w:val="008C0D95"/>
    <w:rsid w:val="008C172F"/>
    <w:rsid w:val="008C19A5"/>
    <w:rsid w:val="008C1A26"/>
    <w:rsid w:val="008C7F40"/>
    <w:rsid w:val="008D0370"/>
    <w:rsid w:val="008D20F8"/>
    <w:rsid w:val="008E294A"/>
    <w:rsid w:val="008E3BE6"/>
    <w:rsid w:val="008F4351"/>
    <w:rsid w:val="00900E8B"/>
    <w:rsid w:val="00903935"/>
    <w:rsid w:val="009041B3"/>
    <w:rsid w:val="00916213"/>
    <w:rsid w:val="009173B6"/>
    <w:rsid w:val="00922256"/>
    <w:rsid w:val="009255C2"/>
    <w:rsid w:val="009274FF"/>
    <w:rsid w:val="00927960"/>
    <w:rsid w:val="0093530C"/>
    <w:rsid w:val="00950797"/>
    <w:rsid w:val="00951327"/>
    <w:rsid w:val="00953407"/>
    <w:rsid w:val="009545B8"/>
    <w:rsid w:val="009561AC"/>
    <w:rsid w:val="0096326F"/>
    <w:rsid w:val="00963FC1"/>
    <w:rsid w:val="00964246"/>
    <w:rsid w:val="009701EF"/>
    <w:rsid w:val="0097202C"/>
    <w:rsid w:val="009754B1"/>
    <w:rsid w:val="009829AD"/>
    <w:rsid w:val="00982F8A"/>
    <w:rsid w:val="009912DE"/>
    <w:rsid w:val="00996CD1"/>
    <w:rsid w:val="009A736D"/>
    <w:rsid w:val="009A7B8C"/>
    <w:rsid w:val="009B3AB9"/>
    <w:rsid w:val="009B5633"/>
    <w:rsid w:val="009C0347"/>
    <w:rsid w:val="009C12A1"/>
    <w:rsid w:val="009C1A94"/>
    <w:rsid w:val="009C1F31"/>
    <w:rsid w:val="009C745A"/>
    <w:rsid w:val="009D3CFD"/>
    <w:rsid w:val="009D7E4C"/>
    <w:rsid w:val="009E1BAB"/>
    <w:rsid w:val="009E30FD"/>
    <w:rsid w:val="009E39AB"/>
    <w:rsid w:val="009E47BD"/>
    <w:rsid w:val="009E5C14"/>
    <w:rsid w:val="009F24A6"/>
    <w:rsid w:val="00A00FCB"/>
    <w:rsid w:val="00A13423"/>
    <w:rsid w:val="00A16604"/>
    <w:rsid w:val="00A20755"/>
    <w:rsid w:val="00A242E0"/>
    <w:rsid w:val="00A24783"/>
    <w:rsid w:val="00A40179"/>
    <w:rsid w:val="00A4041C"/>
    <w:rsid w:val="00A40DD6"/>
    <w:rsid w:val="00A41044"/>
    <w:rsid w:val="00A42D76"/>
    <w:rsid w:val="00A450A6"/>
    <w:rsid w:val="00A46BAC"/>
    <w:rsid w:val="00A506A2"/>
    <w:rsid w:val="00A6015A"/>
    <w:rsid w:val="00A60F7D"/>
    <w:rsid w:val="00A629E1"/>
    <w:rsid w:val="00A62D6B"/>
    <w:rsid w:val="00A63687"/>
    <w:rsid w:val="00A667DB"/>
    <w:rsid w:val="00A75459"/>
    <w:rsid w:val="00A7665B"/>
    <w:rsid w:val="00A76BA3"/>
    <w:rsid w:val="00A8414A"/>
    <w:rsid w:val="00A9072D"/>
    <w:rsid w:val="00A90BD9"/>
    <w:rsid w:val="00A94A91"/>
    <w:rsid w:val="00A94E08"/>
    <w:rsid w:val="00A97A27"/>
    <w:rsid w:val="00A97F99"/>
    <w:rsid w:val="00AA4CA7"/>
    <w:rsid w:val="00AB4117"/>
    <w:rsid w:val="00AB5AFC"/>
    <w:rsid w:val="00AC4977"/>
    <w:rsid w:val="00AD6D0F"/>
    <w:rsid w:val="00AE2780"/>
    <w:rsid w:val="00AE6320"/>
    <w:rsid w:val="00AE6745"/>
    <w:rsid w:val="00AF1B44"/>
    <w:rsid w:val="00AF247A"/>
    <w:rsid w:val="00AF46AC"/>
    <w:rsid w:val="00B10C35"/>
    <w:rsid w:val="00B1182B"/>
    <w:rsid w:val="00B13CEC"/>
    <w:rsid w:val="00B241BD"/>
    <w:rsid w:val="00B27AC7"/>
    <w:rsid w:val="00B36351"/>
    <w:rsid w:val="00B4073C"/>
    <w:rsid w:val="00B476F0"/>
    <w:rsid w:val="00B47DD4"/>
    <w:rsid w:val="00B514FE"/>
    <w:rsid w:val="00B5178C"/>
    <w:rsid w:val="00B56D8D"/>
    <w:rsid w:val="00B62E25"/>
    <w:rsid w:val="00B74242"/>
    <w:rsid w:val="00B74560"/>
    <w:rsid w:val="00B867A8"/>
    <w:rsid w:val="00B87CD6"/>
    <w:rsid w:val="00BA3E79"/>
    <w:rsid w:val="00BB0504"/>
    <w:rsid w:val="00BB1307"/>
    <w:rsid w:val="00BB5F31"/>
    <w:rsid w:val="00BC5D49"/>
    <w:rsid w:val="00BC63FE"/>
    <w:rsid w:val="00BD70BF"/>
    <w:rsid w:val="00BE01ED"/>
    <w:rsid w:val="00BE07CE"/>
    <w:rsid w:val="00BE1BF7"/>
    <w:rsid w:val="00BE5C2C"/>
    <w:rsid w:val="00BF4AC6"/>
    <w:rsid w:val="00BF67DD"/>
    <w:rsid w:val="00BF7C07"/>
    <w:rsid w:val="00C05E9F"/>
    <w:rsid w:val="00C11531"/>
    <w:rsid w:val="00C11EA6"/>
    <w:rsid w:val="00C16B8C"/>
    <w:rsid w:val="00C222EF"/>
    <w:rsid w:val="00C2255E"/>
    <w:rsid w:val="00C2361C"/>
    <w:rsid w:val="00C23B33"/>
    <w:rsid w:val="00C25A26"/>
    <w:rsid w:val="00C31842"/>
    <w:rsid w:val="00C3613A"/>
    <w:rsid w:val="00C37F52"/>
    <w:rsid w:val="00C511CC"/>
    <w:rsid w:val="00C620D9"/>
    <w:rsid w:val="00C62E04"/>
    <w:rsid w:val="00C63589"/>
    <w:rsid w:val="00C70E68"/>
    <w:rsid w:val="00C76CA5"/>
    <w:rsid w:val="00C84F93"/>
    <w:rsid w:val="00C854D0"/>
    <w:rsid w:val="00C94DE1"/>
    <w:rsid w:val="00CA3598"/>
    <w:rsid w:val="00CA4E0F"/>
    <w:rsid w:val="00CB50AC"/>
    <w:rsid w:val="00CC79BB"/>
    <w:rsid w:val="00CD0253"/>
    <w:rsid w:val="00CD2691"/>
    <w:rsid w:val="00CD5762"/>
    <w:rsid w:val="00CD59EB"/>
    <w:rsid w:val="00CD754D"/>
    <w:rsid w:val="00CE4D89"/>
    <w:rsid w:val="00CF2776"/>
    <w:rsid w:val="00D013BB"/>
    <w:rsid w:val="00D11813"/>
    <w:rsid w:val="00D13499"/>
    <w:rsid w:val="00D25817"/>
    <w:rsid w:val="00D271A8"/>
    <w:rsid w:val="00D30647"/>
    <w:rsid w:val="00D52BCF"/>
    <w:rsid w:val="00D543AE"/>
    <w:rsid w:val="00D55CAB"/>
    <w:rsid w:val="00D6019A"/>
    <w:rsid w:val="00D62778"/>
    <w:rsid w:val="00D71771"/>
    <w:rsid w:val="00D8503A"/>
    <w:rsid w:val="00D90289"/>
    <w:rsid w:val="00D9195D"/>
    <w:rsid w:val="00D930B8"/>
    <w:rsid w:val="00D95CCF"/>
    <w:rsid w:val="00D96655"/>
    <w:rsid w:val="00DA2D69"/>
    <w:rsid w:val="00DA3D31"/>
    <w:rsid w:val="00DA3FC6"/>
    <w:rsid w:val="00DA5E63"/>
    <w:rsid w:val="00DA6705"/>
    <w:rsid w:val="00DB2235"/>
    <w:rsid w:val="00DB5158"/>
    <w:rsid w:val="00DC35EE"/>
    <w:rsid w:val="00DD2239"/>
    <w:rsid w:val="00DE1AB0"/>
    <w:rsid w:val="00DE45B1"/>
    <w:rsid w:val="00DF390B"/>
    <w:rsid w:val="00DF62CC"/>
    <w:rsid w:val="00E03B23"/>
    <w:rsid w:val="00E0451B"/>
    <w:rsid w:val="00E06E7B"/>
    <w:rsid w:val="00E1093B"/>
    <w:rsid w:val="00E14B8C"/>
    <w:rsid w:val="00E21B5B"/>
    <w:rsid w:val="00E34069"/>
    <w:rsid w:val="00E409E8"/>
    <w:rsid w:val="00E42E0C"/>
    <w:rsid w:val="00E43160"/>
    <w:rsid w:val="00E47F2A"/>
    <w:rsid w:val="00E70F60"/>
    <w:rsid w:val="00E7499D"/>
    <w:rsid w:val="00E74D62"/>
    <w:rsid w:val="00E9074E"/>
    <w:rsid w:val="00E90CD0"/>
    <w:rsid w:val="00EA08F8"/>
    <w:rsid w:val="00EA3ABD"/>
    <w:rsid w:val="00EB04AE"/>
    <w:rsid w:val="00EB096D"/>
    <w:rsid w:val="00EB30A2"/>
    <w:rsid w:val="00EB51F8"/>
    <w:rsid w:val="00ED1384"/>
    <w:rsid w:val="00ED7B5D"/>
    <w:rsid w:val="00EE0299"/>
    <w:rsid w:val="00EE2560"/>
    <w:rsid w:val="00EE394D"/>
    <w:rsid w:val="00EE6085"/>
    <w:rsid w:val="00EE6A58"/>
    <w:rsid w:val="00EF274E"/>
    <w:rsid w:val="00EF2905"/>
    <w:rsid w:val="00EF478E"/>
    <w:rsid w:val="00EF4DC5"/>
    <w:rsid w:val="00EF53BA"/>
    <w:rsid w:val="00EF6924"/>
    <w:rsid w:val="00F022A9"/>
    <w:rsid w:val="00F0560B"/>
    <w:rsid w:val="00F073AF"/>
    <w:rsid w:val="00F11AB6"/>
    <w:rsid w:val="00F122F0"/>
    <w:rsid w:val="00F129B1"/>
    <w:rsid w:val="00F134A6"/>
    <w:rsid w:val="00F25A89"/>
    <w:rsid w:val="00F264E0"/>
    <w:rsid w:val="00F2664F"/>
    <w:rsid w:val="00F35814"/>
    <w:rsid w:val="00F358BC"/>
    <w:rsid w:val="00F365FB"/>
    <w:rsid w:val="00F37C82"/>
    <w:rsid w:val="00F441D0"/>
    <w:rsid w:val="00F4454B"/>
    <w:rsid w:val="00F44FBB"/>
    <w:rsid w:val="00F549F2"/>
    <w:rsid w:val="00F55EB4"/>
    <w:rsid w:val="00F60482"/>
    <w:rsid w:val="00F6284F"/>
    <w:rsid w:val="00F67874"/>
    <w:rsid w:val="00F732D9"/>
    <w:rsid w:val="00F76A8C"/>
    <w:rsid w:val="00F76C55"/>
    <w:rsid w:val="00F82665"/>
    <w:rsid w:val="00F82E96"/>
    <w:rsid w:val="00FA3CC5"/>
    <w:rsid w:val="00FB5A74"/>
    <w:rsid w:val="00FB772A"/>
    <w:rsid w:val="00FC1CC7"/>
    <w:rsid w:val="00FC73AC"/>
    <w:rsid w:val="00FD1038"/>
    <w:rsid w:val="00FD3751"/>
    <w:rsid w:val="00FD4351"/>
    <w:rsid w:val="00FD6955"/>
    <w:rsid w:val="00FE69F6"/>
    <w:rsid w:val="00FF2A3C"/>
    <w:rsid w:val="00FF2F37"/>
    <w:rsid w:val="00FF32E2"/>
    <w:rsid w:val="00FF6E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9504"/>
  <w15:chartTrackingRefBased/>
  <w15:docId w15:val="{7E8966F2-C3B3-4E0D-A296-8625AC00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64FB"/>
    <w:rPr>
      <w:b/>
      <w:bCs/>
    </w:rPr>
  </w:style>
  <w:style w:type="paragraph" w:styleId="NormalWeb">
    <w:name w:val="Normal (Web)"/>
    <w:basedOn w:val="Normal"/>
    <w:uiPriority w:val="99"/>
    <w:unhideWhenUsed/>
    <w:rsid w:val="008564FB"/>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yperlink">
    <w:name w:val="Hyperlink"/>
    <w:basedOn w:val="DefaultParagraphFont"/>
    <w:uiPriority w:val="99"/>
    <w:unhideWhenUsed/>
    <w:rsid w:val="008564FB"/>
    <w:rPr>
      <w:color w:val="0000FF"/>
      <w:u w:val="single"/>
    </w:rPr>
  </w:style>
  <w:style w:type="paragraph" w:styleId="Header">
    <w:name w:val="header"/>
    <w:basedOn w:val="Normal"/>
    <w:link w:val="HeaderChar"/>
    <w:uiPriority w:val="99"/>
    <w:unhideWhenUsed/>
    <w:rsid w:val="008C0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D95"/>
  </w:style>
  <w:style w:type="paragraph" w:styleId="Footer">
    <w:name w:val="footer"/>
    <w:basedOn w:val="Normal"/>
    <w:link w:val="FooterChar"/>
    <w:uiPriority w:val="99"/>
    <w:unhideWhenUsed/>
    <w:rsid w:val="008C0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D95"/>
  </w:style>
  <w:style w:type="table" w:styleId="TableGridLight">
    <w:name w:val="Grid Table Light"/>
    <w:basedOn w:val="TableNormal"/>
    <w:uiPriority w:val="40"/>
    <w:rsid w:val="005F6E0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A667DB"/>
    <w:rPr>
      <w:color w:val="605E5C"/>
      <w:shd w:val="clear" w:color="auto" w:fill="E1DFDD"/>
    </w:rPr>
  </w:style>
  <w:style w:type="paragraph" w:styleId="ListParagraph">
    <w:name w:val="List Paragraph"/>
    <w:basedOn w:val="Normal"/>
    <w:uiPriority w:val="34"/>
    <w:qFormat/>
    <w:rsid w:val="00215E6A"/>
    <w:pPr>
      <w:ind w:left="720"/>
      <w:contextualSpacing/>
    </w:pPr>
  </w:style>
  <w:style w:type="table" w:styleId="TableGrid">
    <w:name w:val="Table Grid"/>
    <w:basedOn w:val="TableNormal"/>
    <w:uiPriority w:val="39"/>
    <w:rsid w:val="0021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05">
      <w:bodyDiv w:val="1"/>
      <w:marLeft w:val="0"/>
      <w:marRight w:val="0"/>
      <w:marTop w:val="0"/>
      <w:marBottom w:val="0"/>
      <w:divBdr>
        <w:top w:val="none" w:sz="0" w:space="0" w:color="auto"/>
        <w:left w:val="none" w:sz="0" w:space="0" w:color="auto"/>
        <w:bottom w:val="none" w:sz="0" w:space="0" w:color="auto"/>
        <w:right w:val="none" w:sz="0" w:space="0" w:color="auto"/>
      </w:divBdr>
    </w:div>
    <w:div w:id="31460627">
      <w:bodyDiv w:val="1"/>
      <w:marLeft w:val="0"/>
      <w:marRight w:val="0"/>
      <w:marTop w:val="0"/>
      <w:marBottom w:val="0"/>
      <w:divBdr>
        <w:top w:val="none" w:sz="0" w:space="0" w:color="auto"/>
        <w:left w:val="none" w:sz="0" w:space="0" w:color="auto"/>
        <w:bottom w:val="none" w:sz="0" w:space="0" w:color="auto"/>
        <w:right w:val="none" w:sz="0" w:space="0" w:color="auto"/>
      </w:divBdr>
    </w:div>
    <w:div w:id="34891496">
      <w:bodyDiv w:val="1"/>
      <w:marLeft w:val="0"/>
      <w:marRight w:val="0"/>
      <w:marTop w:val="0"/>
      <w:marBottom w:val="0"/>
      <w:divBdr>
        <w:top w:val="none" w:sz="0" w:space="0" w:color="auto"/>
        <w:left w:val="none" w:sz="0" w:space="0" w:color="auto"/>
        <w:bottom w:val="none" w:sz="0" w:space="0" w:color="auto"/>
        <w:right w:val="none" w:sz="0" w:space="0" w:color="auto"/>
      </w:divBdr>
    </w:div>
    <w:div w:id="239797142">
      <w:bodyDiv w:val="1"/>
      <w:marLeft w:val="0"/>
      <w:marRight w:val="0"/>
      <w:marTop w:val="0"/>
      <w:marBottom w:val="0"/>
      <w:divBdr>
        <w:top w:val="none" w:sz="0" w:space="0" w:color="auto"/>
        <w:left w:val="none" w:sz="0" w:space="0" w:color="auto"/>
        <w:bottom w:val="none" w:sz="0" w:space="0" w:color="auto"/>
        <w:right w:val="none" w:sz="0" w:space="0" w:color="auto"/>
      </w:divBdr>
    </w:div>
    <w:div w:id="240138832">
      <w:bodyDiv w:val="1"/>
      <w:marLeft w:val="0"/>
      <w:marRight w:val="0"/>
      <w:marTop w:val="0"/>
      <w:marBottom w:val="0"/>
      <w:divBdr>
        <w:top w:val="none" w:sz="0" w:space="0" w:color="auto"/>
        <w:left w:val="none" w:sz="0" w:space="0" w:color="auto"/>
        <w:bottom w:val="none" w:sz="0" w:space="0" w:color="auto"/>
        <w:right w:val="none" w:sz="0" w:space="0" w:color="auto"/>
      </w:divBdr>
    </w:div>
    <w:div w:id="253588822">
      <w:bodyDiv w:val="1"/>
      <w:marLeft w:val="0"/>
      <w:marRight w:val="0"/>
      <w:marTop w:val="0"/>
      <w:marBottom w:val="0"/>
      <w:divBdr>
        <w:top w:val="none" w:sz="0" w:space="0" w:color="auto"/>
        <w:left w:val="none" w:sz="0" w:space="0" w:color="auto"/>
        <w:bottom w:val="none" w:sz="0" w:space="0" w:color="auto"/>
        <w:right w:val="none" w:sz="0" w:space="0" w:color="auto"/>
      </w:divBdr>
    </w:div>
    <w:div w:id="536116699">
      <w:bodyDiv w:val="1"/>
      <w:marLeft w:val="0"/>
      <w:marRight w:val="0"/>
      <w:marTop w:val="0"/>
      <w:marBottom w:val="0"/>
      <w:divBdr>
        <w:top w:val="none" w:sz="0" w:space="0" w:color="auto"/>
        <w:left w:val="none" w:sz="0" w:space="0" w:color="auto"/>
        <w:bottom w:val="none" w:sz="0" w:space="0" w:color="auto"/>
        <w:right w:val="none" w:sz="0" w:space="0" w:color="auto"/>
      </w:divBdr>
    </w:div>
    <w:div w:id="576091532">
      <w:bodyDiv w:val="1"/>
      <w:marLeft w:val="0"/>
      <w:marRight w:val="0"/>
      <w:marTop w:val="0"/>
      <w:marBottom w:val="0"/>
      <w:divBdr>
        <w:top w:val="none" w:sz="0" w:space="0" w:color="auto"/>
        <w:left w:val="none" w:sz="0" w:space="0" w:color="auto"/>
        <w:bottom w:val="none" w:sz="0" w:space="0" w:color="auto"/>
        <w:right w:val="none" w:sz="0" w:space="0" w:color="auto"/>
      </w:divBdr>
    </w:div>
    <w:div w:id="624583193">
      <w:bodyDiv w:val="1"/>
      <w:marLeft w:val="0"/>
      <w:marRight w:val="0"/>
      <w:marTop w:val="0"/>
      <w:marBottom w:val="0"/>
      <w:divBdr>
        <w:top w:val="none" w:sz="0" w:space="0" w:color="auto"/>
        <w:left w:val="none" w:sz="0" w:space="0" w:color="auto"/>
        <w:bottom w:val="none" w:sz="0" w:space="0" w:color="auto"/>
        <w:right w:val="none" w:sz="0" w:space="0" w:color="auto"/>
      </w:divBdr>
    </w:div>
    <w:div w:id="727343273">
      <w:bodyDiv w:val="1"/>
      <w:marLeft w:val="0"/>
      <w:marRight w:val="0"/>
      <w:marTop w:val="0"/>
      <w:marBottom w:val="0"/>
      <w:divBdr>
        <w:top w:val="none" w:sz="0" w:space="0" w:color="auto"/>
        <w:left w:val="none" w:sz="0" w:space="0" w:color="auto"/>
        <w:bottom w:val="none" w:sz="0" w:space="0" w:color="auto"/>
        <w:right w:val="none" w:sz="0" w:space="0" w:color="auto"/>
      </w:divBdr>
    </w:div>
    <w:div w:id="838814349">
      <w:bodyDiv w:val="1"/>
      <w:marLeft w:val="0"/>
      <w:marRight w:val="0"/>
      <w:marTop w:val="0"/>
      <w:marBottom w:val="0"/>
      <w:divBdr>
        <w:top w:val="none" w:sz="0" w:space="0" w:color="auto"/>
        <w:left w:val="none" w:sz="0" w:space="0" w:color="auto"/>
        <w:bottom w:val="none" w:sz="0" w:space="0" w:color="auto"/>
        <w:right w:val="none" w:sz="0" w:space="0" w:color="auto"/>
      </w:divBdr>
    </w:div>
    <w:div w:id="856312504">
      <w:bodyDiv w:val="1"/>
      <w:marLeft w:val="0"/>
      <w:marRight w:val="0"/>
      <w:marTop w:val="0"/>
      <w:marBottom w:val="0"/>
      <w:divBdr>
        <w:top w:val="none" w:sz="0" w:space="0" w:color="auto"/>
        <w:left w:val="none" w:sz="0" w:space="0" w:color="auto"/>
        <w:bottom w:val="none" w:sz="0" w:space="0" w:color="auto"/>
        <w:right w:val="none" w:sz="0" w:space="0" w:color="auto"/>
      </w:divBdr>
    </w:div>
    <w:div w:id="963728518">
      <w:bodyDiv w:val="1"/>
      <w:marLeft w:val="0"/>
      <w:marRight w:val="0"/>
      <w:marTop w:val="0"/>
      <w:marBottom w:val="0"/>
      <w:divBdr>
        <w:top w:val="none" w:sz="0" w:space="0" w:color="auto"/>
        <w:left w:val="none" w:sz="0" w:space="0" w:color="auto"/>
        <w:bottom w:val="none" w:sz="0" w:space="0" w:color="auto"/>
        <w:right w:val="none" w:sz="0" w:space="0" w:color="auto"/>
      </w:divBdr>
    </w:div>
    <w:div w:id="1117484502">
      <w:bodyDiv w:val="1"/>
      <w:marLeft w:val="0"/>
      <w:marRight w:val="0"/>
      <w:marTop w:val="0"/>
      <w:marBottom w:val="0"/>
      <w:divBdr>
        <w:top w:val="none" w:sz="0" w:space="0" w:color="auto"/>
        <w:left w:val="none" w:sz="0" w:space="0" w:color="auto"/>
        <w:bottom w:val="none" w:sz="0" w:space="0" w:color="auto"/>
        <w:right w:val="none" w:sz="0" w:space="0" w:color="auto"/>
      </w:divBdr>
    </w:div>
    <w:div w:id="1140727539">
      <w:bodyDiv w:val="1"/>
      <w:marLeft w:val="0"/>
      <w:marRight w:val="0"/>
      <w:marTop w:val="0"/>
      <w:marBottom w:val="0"/>
      <w:divBdr>
        <w:top w:val="none" w:sz="0" w:space="0" w:color="auto"/>
        <w:left w:val="none" w:sz="0" w:space="0" w:color="auto"/>
        <w:bottom w:val="none" w:sz="0" w:space="0" w:color="auto"/>
        <w:right w:val="none" w:sz="0" w:space="0" w:color="auto"/>
      </w:divBdr>
    </w:div>
    <w:div w:id="1170486237">
      <w:bodyDiv w:val="1"/>
      <w:marLeft w:val="0"/>
      <w:marRight w:val="0"/>
      <w:marTop w:val="0"/>
      <w:marBottom w:val="0"/>
      <w:divBdr>
        <w:top w:val="none" w:sz="0" w:space="0" w:color="auto"/>
        <w:left w:val="none" w:sz="0" w:space="0" w:color="auto"/>
        <w:bottom w:val="none" w:sz="0" w:space="0" w:color="auto"/>
        <w:right w:val="none" w:sz="0" w:space="0" w:color="auto"/>
      </w:divBdr>
    </w:div>
    <w:div w:id="1303845167">
      <w:bodyDiv w:val="1"/>
      <w:marLeft w:val="0"/>
      <w:marRight w:val="0"/>
      <w:marTop w:val="0"/>
      <w:marBottom w:val="0"/>
      <w:divBdr>
        <w:top w:val="none" w:sz="0" w:space="0" w:color="auto"/>
        <w:left w:val="none" w:sz="0" w:space="0" w:color="auto"/>
        <w:bottom w:val="none" w:sz="0" w:space="0" w:color="auto"/>
        <w:right w:val="none" w:sz="0" w:space="0" w:color="auto"/>
      </w:divBdr>
    </w:div>
    <w:div w:id="1308627608">
      <w:bodyDiv w:val="1"/>
      <w:marLeft w:val="0"/>
      <w:marRight w:val="0"/>
      <w:marTop w:val="0"/>
      <w:marBottom w:val="0"/>
      <w:divBdr>
        <w:top w:val="none" w:sz="0" w:space="0" w:color="auto"/>
        <w:left w:val="none" w:sz="0" w:space="0" w:color="auto"/>
        <w:bottom w:val="none" w:sz="0" w:space="0" w:color="auto"/>
        <w:right w:val="none" w:sz="0" w:space="0" w:color="auto"/>
      </w:divBdr>
    </w:div>
    <w:div w:id="1332172202">
      <w:bodyDiv w:val="1"/>
      <w:marLeft w:val="0"/>
      <w:marRight w:val="0"/>
      <w:marTop w:val="0"/>
      <w:marBottom w:val="0"/>
      <w:divBdr>
        <w:top w:val="none" w:sz="0" w:space="0" w:color="auto"/>
        <w:left w:val="none" w:sz="0" w:space="0" w:color="auto"/>
        <w:bottom w:val="none" w:sz="0" w:space="0" w:color="auto"/>
        <w:right w:val="none" w:sz="0" w:space="0" w:color="auto"/>
      </w:divBdr>
    </w:div>
    <w:div w:id="1412313591">
      <w:bodyDiv w:val="1"/>
      <w:marLeft w:val="0"/>
      <w:marRight w:val="0"/>
      <w:marTop w:val="0"/>
      <w:marBottom w:val="0"/>
      <w:divBdr>
        <w:top w:val="none" w:sz="0" w:space="0" w:color="auto"/>
        <w:left w:val="none" w:sz="0" w:space="0" w:color="auto"/>
        <w:bottom w:val="none" w:sz="0" w:space="0" w:color="auto"/>
        <w:right w:val="none" w:sz="0" w:space="0" w:color="auto"/>
      </w:divBdr>
    </w:div>
    <w:div w:id="1433280646">
      <w:bodyDiv w:val="1"/>
      <w:marLeft w:val="0"/>
      <w:marRight w:val="0"/>
      <w:marTop w:val="0"/>
      <w:marBottom w:val="0"/>
      <w:divBdr>
        <w:top w:val="none" w:sz="0" w:space="0" w:color="auto"/>
        <w:left w:val="none" w:sz="0" w:space="0" w:color="auto"/>
        <w:bottom w:val="none" w:sz="0" w:space="0" w:color="auto"/>
        <w:right w:val="none" w:sz="0" w:space="0" w:color="auto"/>
      </w:divBdr>
    </w:div>
    <w:div w:id="1448889760">
      <w:bodyDiv w:val="1"/>
      <w:marLeft w:val="0"/>
      <w:marRight w:val="0"/>
      <w:marTop w:val="0"/>
      <w:marBottom w:val="0"/>
      <w:divBdr>
        <w:top w:val="none" w:sz="0" w:space="0" w:color="auto"/>
        <w:left w:val="none" w:sz="0" w:space="0" w:color="auto"/>
        <w:bottom w:val="none" w:sz="0" w:space="0" w:color="auto"/>
        <w:right w:val="none" w:sz="0" w:space="0" w:color="auto"/>
      </w:divBdr>
    </w:div>
    <w:div w:id="1509638242">
      <w:bodyDiv w:val="1"/>
      <w:marLeft w:val="0"/>
      <w:marRight w:val="0"/>
      <w:marTop w:val="0"/>
      <w:marBottom w:val="0"/>
      <w:divBdr>
        <w:top w:val="none" w:sz="0" w:space="0" w:color="auto"/>
        <w:left w:val="none" w:sz="0" w:space="0" w:color="auto"/>
        <w:bottom w:val="none" w:sz="0" w:space="0" w:color="auto"/>
        <w:right w:val="none" w:sz="0" w:space="0" w:color="auto"/>
      </w:divBdr>
    </w:div>
    <w:div w:id="1512644426">
      <w:bodyDiv w:val="1"/>
      <w:marLeft w:val="0"/>
      <w:marRight w:val="0"/>
      <w:marTop w:val="0"/>
      <w:marBottom w:val="0"/>
      <w:divBdr>
        <w:top w:val="none" w:sz="0" w:space="0" w:color="auto"/>
        <w:left w:val="none" w:sz="0" w:space="0" w:color="auto"/>
        <w:bottom w:val="none" w:sz="0" w:space="0" w:color="auto"/>
        <w:right w:val="none" w:sz="0" w:space="0" w:color="auto"/>
      </w:divBdr>
    </w:div>
    <w:div w:id="1524637569">
      <w:bodyDiv w:val="1"/>
      <w:marLeft w:val="0"/>
      <w:marRight w:val="0"/>
      <w:marTop w:val="0"/>
      <w:marBottom w:val="0"/>
      <w:divBdr>
        <w:top w:val="none" w:sz="0" w:space="0" w:color="auto"/>
        <w:left w:val="none" w:sz="0" w:space="0" w:color="auto"/>
        <w:bottom w:val="none" w:sz="0" w:space="0" w:color="auto"/>
        <w:right w:val="none" w:sz="0" w:space="0" w:color="auto"/>
      </w:divBdr>
    </w:div>
    <w:div w:id="1656251955">
      <w:bodyDiv w:val="1"/>
      <w:marLeft w:val="0"/>
      <w:marRight w:val="0"/>
      <w:marTop w:val="0"/>
      <w:marBottom w:val="0"/>
      <w:divBdr>
        <w:top w:val="none" w:sz="0" w:space="0" w:color="auto"/>
        <w:left w:val="none" w:sz="0" w:space="0" w:color="auto"/>
        <w:bottom w:val="none" w:sz="0" w:space="0" w:color="auto"/>
        <w:right w:val="none" w:sz="0" w:space="0" w:color="auto"/>
      </w:divBdr>
    </w:div>
    <w:div w:id="1799373357">
      <w:bodyDiv w:val="1"/>
      <w:marLeft w:val="0"/>
      <w:marRight w:val="0"/>
      <w:marTop w:val="0"/>
      <w:marBottom w:val="0"/>
      <w:divBdr>
        <w:top w:val="none" w:sz="0" w:space="0" w:color="auto"/>
        <w:left w:val="none" w:sz="0" w:space="0" w:color="auto"/>
        <w:bottom w:val="none" w:sz="0" w:space="0" w:color="auto"/>
        <w:right w:val="none" w:sz="0" w:space="0" w:color="auto"/>
      </w:divBdr>
    </w:div>
    <w:div w:id="1826823764">
      <w:bodyDiv w:val="1"/>
      <w:marLeft w:val="0"/>
      <w:marRight w:val="0"/>
      <w:marTop w:val="0"/>
      <w:marBottom w:val="0"/>
      <w:divBdr>
        <w:top w:val="none" w:sz="0" w:space="0" w:color="auto"/>
        <w:left w:val="none" w:sz="0" w:space="0" w:color="auto"/>
        <w:bottom w:val="none" w:sz="0" w:space="0" w:color="auto"/>
        <w:right w:val="none" w:sz="0" w:space="0" w:color="auto"/>
      </w:divBdr>
    </w:div>
    <w:div w:id="1882790881">
      <w:bodyDiv w:val="1"/>
      <w:marLeft w:val="0"/>
      <w:marRight w:val="0"/>
      <w:marTop w:val="0"/>
      <w:marBottom w:val="0"/>
      <w:divBdr>
        <w:top w:val="none" w:sz="0" w:space="0" w:color="auto"/>
        <w:left w:val="none" w:sz="0" w:space="0" w:color="auto"/>
        <w:bottom w:val="none" w:sz="0" w:space="0" w:color="auto"/>
        <w:right w:val="none" w:sz="0" w:space="0" w:color="auto"/>
      </w:divBdr>
    </w:div>
    <w:div w:id="1935821932">
      <w:bodyDiv w:val="1"/>
      <w:marLeft w:val="0"/>
      <w:marRight w:val="0"/>
      <w:marTop w:val="0"/>
      <w:marBottom w:val="0"/>
      <w:divBdr>
        <w:top w:val="none" w:sz="0" w:space="0" w:color="auto"/>
        <w:left w:val="none" w:sz="0" w:space="0" w:color="auto"/>
        <w:bottom w:val="none" w:sz="0" w:space="0" w:color="auto"/>
        <w:right w:val="none" w:sz="0" w:space="0" w:color="auto"/>
      </w:divBdr>
    </w:div>
    <w:div w:id="1951815094">
      <w:bodyDiv w:val="1"/>
      <w:marLeft w:val="0"/>
      <w:marRight w:val="0"/>
      <w:marTop w:val="0"/>
      <w:marBottom w:val="0"/>
      <w:divBdr>
        <w:top w:val="none" w:sz="0" w:space="0" w:color="auto"/>
        <w:left w:val="none" w:sz="0" w:space="0" w:color="auto"/>
        <w:bottom w:val="none" w:sz="0" w:space="0" w:color="auto"/>
        <w:right w:val="none" w:sz="0" w:space="0" w:color="auto"/>
      </w:divBdr>
    </w:div>
    <w:div w:id="1990865644">
      <w:bodyDiv w:val="1"/>
      <w:marLeft w:val="0"/>
      <w:marRight w:val="0"/>
      <w:marTop w:val="0"/>
      <w:marBottom w:val="0"/>
      <w:divBdr>
        <w:top w:val="none" w:sz="0" w:space="0" w:color="auto"/>
        <w:left w:val="none" w:sz="0" w:space="0" w:color="auto"/>
        <w:bottom w:val="none" w:sz="0" w:space="0" w:color="auto"/>
        <w:right w:val="none" w:sz="0" w:space="0" w:color="auto"/>
      </w:divBdr>
    </w:div>
    <w:div w:id="20684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33177-0_11" TargetMode="External"/><Relationship Id="rId3" Type="http://schemas.openxmlformats.org/officeDocument/2006/relationships/settings" Target="settings.xml"/><Relationship Id="rId7" Type="http://schemas.openxmlformats.org/officeDocument/2006/relationships/hyperlink" Target="https://doi.org/10.1007/978-3-031-40651-5_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978-981-99-1284-1_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3322</TotalTime>
  <Pages>4</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Eulatth Vidal</dc:creator>
  <cp:keywords/>
  <dc:description/>
  <cp:lastModifiedBy>William Eulatth Vidal</cp:lastModifiedBy>
  <cp:revision>453</cp:revision>
  <cp:lastPrinted>2025-12-03T20:50:00Z</cp:lastPrinted>
  <dcterms:created xsi:type="dcterms:W3CDTF">2025-01-26T19:32:00Z</dcterms:created>
  <dcterms:modified xsi:type="dcterms:W3CDTF">2025-12-03T22:34:00Z</dcterms:modified>
</cp:coreProperties>
</file>