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37" w:rsidRPr="00DD3A37" w:rsidRDefault="00DD3A37" w:rsidP="00DD3A37">
      <w:pPr>
        <w:rPr>
          <w:rFonts w:ascii="Arial" w:hAnsi="Arial" w:cs="Arial"/>
          <w:sz w:val="28"/>
          <w:szCs w:val="28"/>
        </w:rPr>
      </w:pPr>
      <w:r w:rsidRPr="00DD3A37">
        <w:rPr>
          <w:rFonts w:ascii="Arial" w:hAnsi="Arial" w:cs="Arial"/>
          <w:sz w:val="28"/>
          <w:szCs w:val="28"/>
        </w:rPr>
        <w:t>Percentage change in real, per capita spending by Government functional classifications</w:t>
      </w:r>
    </w:p>
    <w:tbl>
      <w:tblPr>
        <w:tblStyle w:val="TableGrid"/>
        <w:tblpPr w:leftFromText="180" w:rightFromText="180" w:vertAnchor="text" w:horzAnchor="margin" w:tblpY="19"/>
        <w:tblW w:w="0" w:type="auto"/>
        <w:tblLook w:val="04A0" w:firstRow="1" w:lastRow="0" w:firstColumn="1" w:lastColumn="0" w:noHBand="0" w:noVBand="1"/>
      </w:tblPr>
      <w:tblGrid>
        <w:gridCol w:w="3005"/>
        <w:gridCol w:w="3005"/>
        <w:gridCol w:w="3006"/>
      </w:tblGrid>
      <w:tr w:rsidR="00DD3A37" w:rsidRPr="00DD3A37" w:rsidTr="009D66AF">
        <w:tc>
          <w:tcPr>
            <w:tcW w:w="3005" w:type="dxa"/>
          </w:tcPr>
          <w:p w:rsidR="00DD3A37" w:rsidRPr="00DD3A37" w:rsidRDefault="00DD3A37" w:rsidP="009D66AF">
            <w:pPr>
              <w:rPr>
                <w:rFonts w:ascii="Arial" w:hAnsi="Arial" w:cs="Arial"/>
              </w:rPr>
            </w:pPr>
            <w:r w:rsidRPr="00DD3A37">
              <w:rPr>
                <w:rFonts w:ascii="Arial" w:eastAsia="Times New Roman" w:hAnsi="Arial" w:cs="Arial"/>
                <w:color w:val="000000"/>
                <w:lang w:eastAsia="en-NZ"/>
              </w:rPr>
              <w:t>Function</w:t>
            </w:r>
          </w:p>
        </w:tc>
        <w:tc>
          <w:tcPr>
            <w:tcW w:w="3005" w:type="dxa"/>
          </w:tcPr>
          <w:p w:rsidR="00DD3A37" w:rsidRPr="00DD3A37" w:rsidRDefault="00DD3A37" w:rsidP="009D66AF">
            <w:pPr>
              <w:jc w:val="center"/>
              <w:rPr>
                <w:rFonts w:ascii="Arial" w:hAnsi="Arial" w:cs="Arial"/>
              </w:rPr>
            </w:pPr>
            <w:r w:rsidRPr="00DD3A37">
              <w:rPr>
                <w:rFonts w:ascii="Arial" w:eastAsia="Times New Roman" w:hAnsi="Arial" w:cs="Arial"/>
                <w:color w:val="000000"/>
                <w:lang w:eastAsia="en-NZ"/>
              </w:rPr>
              <w:t>Coming Budget year (2017/18)  - one year change</w:t>
            </w:r>
          </w:p>
        </w:tc>
        <w:tc>
          <w:tcPr>
            <w:tcW w:w="3006" w:type="dxa"/>
          </w:tcPr>
          <w:p w:rsidR="00DD3A37" w:rsidRPr="00DD3A37" w:rsidRDefault="00DD3A37" w:rsidP="009D66AF">
            <w:pPr>
              <w:jc w:val="center"/>
              <w:rPr>
                <w:rFonts w:ascii="Arial" w:hAnsi="Arial" w:cs="Arial"/>
              </w:rPr>
            </w:pPr>
            <w:r w:rsidRPr="00DD3A37">
              <w:rPr>
                <w:rFonts w:ascii="Arial" w:eastAsia="Times New Roman" w:hAnsi="Arial" w:cs="Arial"/>
                <w:color w:val="000000"/>
                <w:lang w:eastAsia="en-NZ"/>
              </w:rPr>
              <w:t>Change over forecast period -2016/17 to 2020/21</w:t>
            </w:r>
          </w:p>
        </w:tc>
      </w:tr>
      <w:tr w:rsidR="00DD3A37" w:rsidRPr="00DD3A37" w:rsidTr="009D66AF">
        <w:tc>
          <w:tcPr>
            <w:tcW w:w="3005" w:type="dxa"/>
          </w:tcPr>
          <w:p w:rsidR="00DD3A37" w:rsidRPr="00DD3A37" w:rsidRDefault="00DD3A37" w:rsidP="009D66AF">
            <w:pPr>
              <w:rPr>
                <w:rFonts w:ascii="Arial" w:hAnsi="Arial" w:cs="Arial"/>
              </w:rPr>
            </w:pPr>
            <w:r w:rsidRPr="00DD3A37">
              <w:rPr>
                <w:rFonts w:ascii="Arial" w:hAnsi="Arial" w:cs="Arial"/>
              </w:rPr>
              <w:t>Core government services</w:t>
            </w:r>
          </w:p>
        </w:tc>
        <w:tc>
          <w:tcPr>
            <w:tcW w:w="3005" w:type="dxa"/>
          </w:tcPr>
          <w:p w:rsidR="00DD3A37" w:rsidRPr="00DD3A37" w:rsidRDefault="00DD3A37" w:rsidP="009D66AF">
            <w:pPr>
              <w:jc w:val="center"/>
              <w:rPr>
                <w:rFonts w:ascii="Arial" w:hAnsi="Arial" w:cs="Arial"/>
              </w:rPr>
            </w:pPr>
            <w:r w:rsidRPr="00DD3A37">
              <w:rPr>
                <w:rFonts w:ascii="Arial" w:hAnsi="Arial" w:cs="Arial"/>
              </w:rPr>
              <w:t>12.3%</w:t>
            </w:r>
          </w:p>
        </w:tc>
        <w:tc>
          <w:tcPr>
            <w:tcW w:w="3006" w:type="dxa"/>
          </w:tcPr>
          <w:p w:rsidR="00DD3A37" w:rsidRPr="00DD3A37" w:rsidRDefault="00DD3A37" w:rsidP="009D66AF">
            <w:pPr>
              <w:jc w:val="center"/>
              <w:rPr>
                <w:rFonts w:ascii="Arial" w:hAnsi="Arial" w:cs="Arial"/>
              </w:rPr>
            </w:pPr>
            <w:r w:rsidRPr="00DD3A37">
              <w:rPr>
                <w:rFonts w:ascii="Arial" w:hAnsi="Arial" w:cs="Arial"/>
              </w:rPr>
              <w:t>-1.8%</w:t>
            </w:r>
          </w:p>
        </w:tc>
      </w:tr>
      <w:tr w:rsidR="00DD3A37" w:rsidRPr="00DD3A37" w:rsidTr="009D66AF">
        <w:tc>
          <w:tcPr>
            <w:tcW w:w="3005" w:type="dxa"/>
          </w:tcPr>
          <w:p w:rsidR="00DD3A37" w:rsidRPr="00DD3A37" w:rsidRDefault="00DD3A37" w:rsidP="009D66AF">
            <w:pPr>
              <w:rPr>
                <w:rFonts w:ascii="Arial" w:hAnsi="Arial" w:cs="Arial"/>
              </w:rPr>
            </w:pPr>
            <w:proofErr w:type="spellStart"/>
            <w:r w:rsidRPr="00DD3A37">
              <w:rPr>
                <w:rFonts w:ascii="Arial" w:hAnsi="Arial" w:cs="Arial"/>
              </w:rPr>
              <w:t>Defence</w:t>
            </w:r>
            <w:proofErr w:type="spellEnd"/>
          </w:p>
        </w:tc>
        <w:tc>
          <w:tcPr>
            <w:tcW w:w="3005" w:type="dxa"/>
          </w:tcPr>
          <w:p w:rsidR="00DD3A37" w:rsidRPr="00DD3A37" w:rsidRDefault="00DD3A37" w:rsidP="009D66AF">
            <w:pPr>
              <w:jc w:val="center"/>
              <w:rPr>
                <w:rFonts w:ascii="Arial" w:hAnsi="Arial" w:cs="Arial"/>
              </w:rPr>
            </w:pPr>
            <w:r w:rsidRPr="00DD3A37">
              <w:rPr>
                <w:rFonts w:ascii="Arial" w:hAnsi="Arial" w:cs="Arial"/>
              </w:rPr>
              <w:t>2.6%</w:t>
            </w:r>
          </w:p>
        </w:tc>
        <w:tc>
          <w:tcPr>
            <w:tcW w:w="3006" w:type="dxa"/>
          </w:tcPr>
          <w:p w:rsidR="00DD3A37" w:rsidRPr="00DD3A37" w:rsidRDefault="00DD3A37" w:rsidP="009D66AF">
            <w:pPr>
              <w:jc w:val="center"/>
              <w:rPr>
                <w:rFonts w:ascii="Arial" w:hAnsi="Arial" w:cs="Arial"/>
              </w:rPr>
            </w:pPr>
            <w:r w:rsidRPr="00DD3A37">
              <w:rPr>
                <w:rFonts w:ascii="Arial" w:hAnsi="Arial" w:cs="Arial"/>
              </w:rPr>
              <w:t>6.3%</w:t>
            </w:r>
          </w:p>
        </w:tc>
      </w:tr>
      <w:tr w:rsidR="00DD3A37" w:rsidRPr="00DD3A37" w:rsidTr="009D66AF">
        <w:tc>
          <w:tcPr>
            <w:tcW w:w="3005" w:type="dxa"/>
          </w:tcPr>
          <w:p w:rsidR="00DD3A37" w:rsidRPr="00DD3A37" w:rsidRDefault="00DD3A37" w:rsidP="009D66AF">
            <w:pPr>
              <w:rPr>
                <w:rFonts w:ascii="Arial" w:hAnsi="Arial" w:cs="Arial"/>
              </w:rPr>
            </w:pPr>
            <w:r w:rsidRPr="00DD3A37">
              <w:rPr>
                <w:rFonts w:ascii="Arial" w:hAnsi="Arial" w:cs="Arial"/>
              </w:rPr>
              <w:t>Education</w:t>
            </w:r>
          </w:p>
        </w:tc>
        <w:tc>
          <w:tcPr>
            <w:tcW w:w="3005" w:type="dxa"/>
          </w:tcPr>
          <w:p w:rsidR="00DD3A37" w:rsidRPr="00DD3A37" w:rsidRDefault="00DD3A37" w:rsidP="009D66AF">
            <w:pPr>
              <w:jc w:val="center"/>
              <w:rPr>
                <w:rFonts w:ascii="Arial" w:hAnsi="Arial" w:cs="Arial"/>
              </w:rPr>
            </w:pPr>
            <w:r w:rsidRPr="00DD3A37">
              <w:rPr>
                <w:rFonts w:ascii="Arial" w:hAnsi="Arial" w:cs="Arial"/>
              </w:rPr>
              <w:t>-0.3%</w:t>
            </w:r>
          </w:p>
        </w:tc>
        <w:tc>
          <w:tcPr>
            <w:tcW w:w="3006" w:type="dxa"/>
          </w:tcPr>
          <w:p w:rsidR="00DD3A37" w:rsidRPr="00DD3A37" w:rsidRDefault="00DD3A37" w:rsidP="009D66AF">
            <w:pPr>
              <w:jc w:val="center"/>
              <w:rPr>
                <w:rFonts w:ascii="Arial" w:hAnsi="Arial" w:cs="Arial"/>
              </w:rPr>
            </w:pPr>
            <w:r w:rsidRPr="00DD3A37">
              <w:rPr>
                <w:rFonts w:ascii="Arial" w:hAnsi="Arial" w:cs="Arial"/>
              </w:rPr>
              <w:t>3.4%</w:t>
            </w:r>
          </w:p>
        </w:tc>
      </w:tr>
      <w:tr w:rsidR="00DD3A37" w:rsidRPr="00DD3A37" w:rsidTr="009D66AF">
        <w:tc>
          <w:tcPr>
            <w:tcW w:w="3005" w:type="dxa"/>
          </w:tcPr>
          <w:p w:rsidR="00DD3A37" w:rsidRPr="00DD3A37" w:rsidRDefault="00DD3A37" w:rsidP="009D66AF">
            <w:pPr>
              <w:rPr>
                <w:rFonts w:ascii="Arial" w:hAnsi="Arial" w:cs="Arial"/>
              </w:rPr>
            </w:pPr>
            <w:r w:rsidRPr="00DD3A37">
              <w:rPr>
                <w:rFonts w:ascii="Arial" w:hAnsi="Arial" w:cs="Arial"/>
              </w:rPr>
              <w:t>Finance costs</w:t>
            </w:r>
          </w:p>
        </w:tc>
        <w:tc>
          <w:tcPr>
            <w:tcW w:w="3005" w:type="dxa"/>
          </w:tcPr>
          <w:p w:rsidR="00DD3A37" w:rsidRPr="00DD3A37" w:rsidRDefault="00DD3A37" w:rsidP="009D66AF">
            <w:pPr>
              <w:jc w:val="center"/>
              <w:rPr>
                <w:rFonts w:ascii="Arial" w:hAnsi="Arial" w:cs="Arial"/>
              </w:rPr>
            </w:pPr>
            <w:r w:rsidRPr="00DD3A37">
              <w:rPr>
                <w:rFonts w:ascii="Arial" w:hAnsi="Arial" w:cs="Arial"/>
              </w:rPr>
              <w:t>-5.7%</w:t>
            </w:r>
          </w:p>
        </w:tc>
        <w:tc>
          <w:tcPr>
            <w:tcW w:w="3006" w:type="dxa"/>
          </w:tcPr>
          <w:p w:rsidR="00DD3A37" w:rsidRPr="00DD3A37" w:rsidRDefault="00DD3A37" w:rsidP="009D66AF">
            <w:pPr>
              <w:jc w:val="center"/>
              <w:rPr>
                <w:rFonts w:ascii="Arial" w:hAnsi="Arial" w:cs="Arial"/>
              </w:rPr>
            </w:pPr>
            <w:r w:rsidRPr="00DD3A37">
              <w:rPr>
                <w:rFonts w:ascii="Arial" w:hAnsi="Arial" w:cs="Arial"/>
              </w:rPr>
              <w:t>-7.5%</w:t>
            </w:r>
          </w:p>
        </w:tc>
      </w:tr>
      <w:tr w:rsidR="00DD3A37" w:rsidRPr="00DD3A37" w:rsidTr="009D66AF">
        <w:tc>
          <w:tcPr>
            <w:tcW w:w="3005" w:type="dxa"/>
          </w:tcPr>
          <w:p w:rsidR="00DD3A37" w:rsidRPr="00DD3A37" w:rsidRDefault="00DD3A37" w:rsidP="009D66AF">
            <w:pPr>
              <w:rPr>
                <w:rFonts w:ascii="Arial" w:hAnsi="Arial" w:cs="Arial"/>
              </w:rPr>
            </w:pPr>
            <w:r w:rsidRPr="00DD3A37">
              <w:rPr>
                <w:rFonts w:ascii="Arial" w:hAnsi="Arial" w:cs="Arial"/>
              </w:rPr>
              <w:t>Health</w:t>
            </w:r>
          </w:p>
        </w:tc>
        <w:tc>
          <w:tcPr>
            <w:tcW w:w="3005" w:type="dxa"/>
          </w:tcPr>
          <w:p w:rsidR="00DD3A37" w:rsidRPr="00DD3A37" w:rsidRDefault="00DD3A37" w:rsidP="009D66AF">
            <w:pPr>
              <w:jc w:val="center"/>
              <w:rPr>
                <w:rFonts w:ascii="Arial" w:hAnsi="Arial" w:cs="Arial"/>
              </w:rPr>
            </w:pPr>
            <w:r w:rsidRPr="00DD3A37">
              <w:rPr>
                <w:rFonts w:ascii="Arial" w:hAnsi="Arial" w:cs="Arial"/>
              </w:rPr>
              <w:t>1.2%</w:t>
            </w:r>
          </w:p>
        </w:tc>
        <w:tc>
          <w:tcPr>
            <w:tcW w:w="3006" w:type="dxa"/>
          </w:tcPr>
          <w:p w:rsidR="00DD3A37" w:rsidRPr="00DD3A37" w:rsidRDefault="00DD3A37" w:rsidP="009D66AF">
            <w:pPr>
              <w:jc w:val="center"/>
              <w:rPr>
                <w:rFonts w:ascii="Arial" w:hAnsi="Arial" w:cs="Arial"/>
              </w:rPr>
            </w:pPr>
            <w:r w:rsidRPr="00DD3A37">
              <w:rPr>
                <w:rFonts w:ascii="Arial" w:hAnsi="Arial" w:cs="Arial"/>
              </w:rPr>
              <w:t>2.1%</w:t>
            </w:r>
          </w:p>
        </w:tc>
      </w:tr>
      <w:tr w:rsidR="00DD3A37" w:rsidRPr="00DD3A37" w:rsidTr="009D66AF">
        <w:tc>
          <w:tcPr>
            <w:tcW w:w="3005" w:type="dxa"/>
          </w:tcPr>
          <w:p w:rsidR="00DD3A37" w:rsidRPr="00DD3A37" w:rsidRDefault="00DD3A37" w:rsidP="009D66AF">
            <w:pPr>
              <w:rPr>
                <w:rFonts w:ascii="Arial" w:hAnsi="Arial" w:cs="Arial"/>
              </w:rPr>
            </w:pPr>
            <w:r w:rsidRPr="00DD3A37">
              <w:rPr>
                <w:rFonts w:ascii="Arial" w:hAnsi="Arial" w:cs="Arial"/>
              </w:rPr>
              <w:t>Law and order</w:t>
            </w:r>
          </w:p>
        </w:tc>
        <w:tc>
          <w:tcPr>
            <w:tcW w:w="3005" w:type="dxa"/>
          </w:tcPr>
          <w:p w:rsidR="00DD3A37" w:rsidRPr="00DD3A37" w:rsidRDefault="00DD3A37" w:rsidP="009D66AF">
            <w:pPr>
              <w:jc w:val="center"/>
              <w:rPr>
                <w:rFonts w:ascii="Arial" w:hAnsi="Arial" w:cs="Arial"/>
              </w:rPr>
            </w:pPr>
            <w:r w:rsidRPr="00DD3A37">
              <w:rPr>
                <w:rFonts w:ascii="Arial" w:hAnsi="Arial" w:cs="Arial"/>
              </w:rPr>
              <w:t>-0.9%</w:t>
            </w:r>
          </w:p>
        </w:tc>
        <w:tc>
          <w:tcPr>
            <w:tcW w:w="3006" w:type="dxa"/>
          </w:tcPr>
          <w:p w:rsidR="00DD3A37" w:rsidRPr="00DD3A37" w:rsidRDefault="00DD3A37" w:rsidP="009D66AF">
            <w:pPr>
              <w:jc w:val="center"/>
              <w:rPr>
                <w:rFonts w:ascii="Arial" w:hAnsi="Arial" w:cs="Arial"/>
              </w:rPr>
            </w:pPr>
            <w:r w:rsidRPr="00DD3A37">
              <w:rPr>
                <w:rFonts w:ascii="Arial" w:hAnsi="Arial" w:cs="Arial"/>
              </w:rPr>
              <w:t>2.7%</w:t>
            </w:r>
          </w:p>
        </w:tc>
      </w:tr>
      <w:tr w:rsidR="00DD3A37" w:rsidRPr="00DD3A37" w:rsidTr="009D66AF">
        <w:tc>
          <w:tcPr>
            <w:tcW w:w="3005" w:type="dxa"/>
          </w:tcPr>
          <w:p w:rsidR="00DD3A37" w:rsidRPr="00DD3A37" w:rsidRDefault="00DD3A37" w:rsidP="009D66AF">
            <w:pPr>
              <w:rPr>
                <w:rFonts w:ascii="Arial" w:hAnsi="Arial" w:cs="Arial"/>
              </w:rPr>
            </w:pPr>
            <w:r w:rsidRPr="00DD3A37">
              <w:rPr>
                <w:rFonts w:ascii="Arial" w:hAnsi="Arial" w:cs="Arial"/>
              </w:rPr>
              <w:t>Welfare</w:t>
            </w:r>
          </w:p>
        </w:tc>
        <w:tc>
          <w:tcPr>
            <w:tcW w:w="3005" w:type="dxa"/>
          </w:tcPr>
          <w:p w:rsidR="00DD3A37" w:rsidRPr="00DD3A37" w:rsidRDefault="00DD3A37" w:rsidP="009D66AF">
            <w:pPr>
              <w:jc w:val="center"/>
              <w:rPr>
                <w:rFonts w:ascii="Arial" w:hAnsi="Arial" w:cs="Arial"/>
              </w:rPr>
            </w:pPr>
            <w:r w:rsidRPr="00DD3A37">
              <w:rPr>
                <w:rFonts w:ascii="Arial" w:hAnsi="Arial" w:cs="Arial"/>
              </w:rPr>
              <w:t>-0.9%</w:t>
            </w:r>
          </w:p>
        </w:tc>
        <w:tc>
          <w:tcPr>
            <w:tcW w:w="3006" w:type="dxa"/>
          </w:tcPr>
          <w:p w:rsidR="00DD3A37" w:rsidRPr="00DD3A37" w:rsidRDefault="00DD3A37" w:rsidP="009D66AF">
            <w:pPr>
              <w:jc w:val="center"/>
              <w:rPr>
                <w:rFonts w:ascii="Arial" w:hAnsi="Arial" w:cs="Arial"/>
              </w:rPr>
            </w:pPr>
            <w:r w:rsidRPr="00DD3A37">
              <w:rPr>
                <w:rFonts w:ascii="Arial" w:hAnsi="Arial" w:cs="Arial"/>
              </w:rPr>
              <w:t>-5.5%</w:t>
            </w:r>
          </w:p>
        </w:tc>
      </w:tr>
      <w:tr w:rsidR="00DD3A37" w:rsidRPr="00DD3A37" w:rsidTr="009D66AF">
        <w:tc>
          <w:tcPr>
            <w:tcW w:w="3005" w:type="dxa"/>
          </w:tcPr>
          <w:p w:rsidR="00DD3A37" w:rsidRPr="00DD3A37" w:rsidRDefault="00DD3A37" w:rsidP="009D66AF">
            <w:pPr>
              <w:rPr>
                <w:rFonts w:ascii="Arial" w:hAnsi="Arial" w:cs="Arial"/>
              </w:rPr>
            </w:pPr>
            <w:r w:rsidRPr="00DD3A37">
              <w:rPr>
                <w:rFonts w:ascii="Arial" w:hAnsi="Arial" w:cs="Arial"/>
              </w:rPr>
              <w:t>New Zealand Superannuation</w:t>
            </w:r>
          </w:p>
        </w:tc>
        <w:tc>
          <w:tcPr>
            <w:tcW w:w="3005" w:type="dxa"/>
          </w:tcPr>
          <w:p w:rsidR="00DD3A37" w:rsidRPr="00DD3A37" w:rsidRDefault="00DD3A37" w:rsidP="009D66AF">
            <w:pPr>
              <w:jc w:val="center"/>
              <w:rPr>
                <w:rFonts w:ascii="Arial" w:hAnsi="Arial" w:cs="Arial"/>
              </w:rPr>
            </w:pPr>
            <w:r w:rsidRPr="00DD3A37">
              <w:rPr>
                <w:rFonts w:ascii="Arial" w:hAnsi="Arial" w:cs="Arial"/>
              </w:rPr>
              <w:t>1.5%</w:t>
            </w:r>
          </w:p>
        </w:tc>
        <w:tc>
          <w:tcPr>
            <w:tcW w:w="3006" w:type="dxa"/>
          </w:tcPr>
          <w:p w:rsidR="00DD3A37" w:rsidRPr="00DD3A37" w:rsidRDefault="00DD3A37" w:rsidP="009D66AF">
            <w:pPr>
              <w:jc w:val="center"/>
              <w:rPr>
                <w:rFonts w:ascii="Arial" w:hAnsi="Arial" w:cs="Arial"/>
              </w:rPr>
            </w:pPr>
            <w:r w:rsidRPr="00DD3A37">
              <w:rPr>
                <w:rFonts w:ascii="Arial" w:hAnsi="Arial" w:cs="Arial"/>
              </w:rPr>
              <w:t>6.5%</w:t>
            </w:r>
          </w:p>
        </w:tc>
      </w:tr>
      <w:tr w:rsidR="00DD3A37" w:rsidRPr="00DD3A37" w:rsidTr="009D66AF">
        <w:tc>
          <w:tcPr>
            <w:tcW w:w="3005" w:type="dxa"/>
          </w:tcPr>
          <w:p w:rsidR="00DD3A37" w:rsidRPr="00DD3A37" w:rsidRDefault="00DD3A37" w:rsidP="009D66AF">
            <w:pPr>
              <w:rPr>
                <w:rFonts w:ascii="Arial" w:hAnsi="Arial" w:cs="Arial"/>
              </w:rPr>
            </w:pPr>
            <w:r w:rsidRPr="00DD3A37">
              <w:rPr>
                <w:rFonts w:ascii="Arial" w:hAnsi="Arial" w:cs="Arial"/>
              </w:rPr>
              <w:t>All others</w:t>
            </w:r>
          </w:p>
        </w:tc>
        <w:tc>
          <w:tcPr>
            <w:tcW w:w="3005" w:type="dxa"/>
          </w:tcPr>
          <w:p w:rsidR="00DD3A37" w:rsidRPr="00DD3A37" w:rsidRDefault="00DD3A37" w:rsidP="009D66AF">
            <w:pPr>
              <w:jc w:val="center"/>
              <w:rPr>
                <w:rFonts w:ascii="Arial" w:hAnsi="Arial" w:cs="Arial"/>
              </w:rPr>
            </w:pPr>
            <w:r w:rsidRPr="00DD3A37">
              <w:rPr>
                <w:rFonts w:ascii="Arial" w:hAnsi="Arial" w:cs="Arial"/>
              </w:rPr>
              <w:t>-1.0%</w:t>
            </w:r>
          </w:p>
        </w:tc>
        <w:tc>
          <w:tcPr>
            <w:tcW w:w="3006" w:type="dxa"/>
          </w:tcPr>
          <w:p w:rsidR="00DD3A37" w:rsidRPr="00DD3A37" w:rsidRDefault="00DD3A37" w:rsidP="009D66AF">
            <w:pPr>
              <w:jc w:val="center"/>
              <w:rPr>
                <w:rFonts w:ascii="Arial" w:hAnsi="Arial" w:cs="Arial"/>
              </w:rPr>
            </w:pPr>
            <w:r w:rsidRPr="00DD3A37">
              <w:rPr>
                <w:rFonts w:ascii="Arial" w:hAnsi="Arial" w:cs="Arial"/>
              </w:rPr>
              <w:t>-5.7%</w:t>
            </w:r>
          </w:p>
        </w:tc>
      </w:tr>
      <w:tr w:rsidR="00DD3A37" w:rsidRPr="00DD3A37" w:rsidTr="009D66AF">
        <w:tc>
          <w:tcPr>
            <w:tcW w:w="3005" w:type="dxa"/>
          </w:tcPr>
          <w:p w:rsidR="00DD3A37" w:rsidRPr="00DD3A37" w:rsidRDefault="00DD3A37" w:rsidP="009D66AF">
            <w:pPr>
              <w:rPr>
                <w:rFonts w:ascii="Arial" w:hAnsi="Arial" w:cs="Arial"/>
              </w:rPr>
            </w:pPr>
            <w:r w:rsidRPr="00DD3A37">
              <w:rPr>
                <w:rFonts w:ascii="Arial" w:hAnsi="Arial" w:cs="Arial"/>
              </w:rPr>
              <w:t>Total core Crown expenses including losses</w:t>
            </w:r>
          </w:p>
        </w:tc>
        <w:tc>
          <w:tcPr>
            <w:tcW w:w="3005" w:type="dxa"/>
          </w:tcPr>
          <w:p w:rsidR="00DD3A37" w:rsidRPr="00DD3A37" w:rsidRDefault="00DD3A37" w:rsidP="009D66AF">
            <w:pPr>
              <w:jc w:val="center"/>
              <w:rPr>
                <w:rFonts w:ascii="Arial" w:hAnsi="Arial" w:cs="Arial"/>
              </w:rPr>
            </w:pPr>
            <w:r w:rsidRPr="00DD3A37">
              <w:rPr>
                <w:rFonts w:ascii="Arial" w:hAnsi="Arial" w:cs="Arial"/>
              </w:rPr>
              <w:t>0.6%</w:t>
            </w:r>
          </w:p>
        </w:tc>
        <w:tc>
          <w:tcPr>
            <w:tcW w:w="3006" w:type="dxa"/>
          </w:tcPr>
          <w:p w:rsidR="00DD3A37" w:rsidRPr="00DD3A37" w:rsidRDefault="00DD3A37" w:rsidP="009D66AF">
            <w:pPr>
              <w:jc w:val="center"/>
              <w:rPr>
                <w:rFonts w:ascii="Arial" w:hAnsi="Arial" w:cs="Arial"/>
              </w:rPr>
            </w:pPr>
            <w:r w:rsidRPr="00DD3A37">
              <w:rPr>
                <w:rFonts w:ascii="Arial" w:hAnsi="Arial" w:cs="Arial"/>
              </w:rPr>
              <w:t>0.5%</w:t>
            </w:r>
          </w:p>
        </w:tc>
      </w:tr>
    </w:tbl>
    <w:p w:rsidR="00DD3A37" w:rsidRDefault="00DD3A37" w:rsidP="00DD3A37">
      <w:pPr>
        <w:tabs>
          <w:tab w:val="left" w:pos="7305"/>
        </w:tabs>
        <w:rPr>
          <w:sz w:val="28"/>
          <w:szCs w:val="28"/>
        </w:rPr>
      </w:pPr>
      <w:r>
        <w:rPr>
          <w:sz w:val="28"/>
          <w:szCs w:val="28"/>
        </w:rPr>
        <w:tab/>
      </w:r>
    </w:p>
    <w:p w:rsidR="00DD3A37" w:rsidRDefault="00DD3A37" w:rsidP="004B3C20">
      <w:pPr>
        <w:spacing w:after="0" w:line="240" w:lineRule="auto"/>
        <w:rPr>
          <w:rFonts w:ascii="Arial" w:eastAsia="Calibri" w:hAnsi="Arial" w:cs="Arial"/>
          <w:b/>
          <w:sz w:val="21"/>
          <w:szCs w:val="21"/>
          <w:u w:val="single"/>
        </w:rPr>
      </w:pPr>
    </w:p>
    <w:p w:rsidR="0027408F" w:rsidRPr="00C408B3" w:rsidRDefault="0027408F" w:rsidP="004B3C20">
      <w:pPr>
        <w:spacing w:after="0" w:line="240" w:lineRule="auto"/>
        <w:rPr>
          <w:rFonts w:ascii="Arial" w:eastAsia="Calibri" w:hAnsi="Arial" w:cs="Arial"/>
          <w:b/>
          <w:sz w:val="21"/>
          <w:szCs w:val="21"/>
          <w:u w:val="single"/>
        </w:rPr>
      </w:pPr>
      <w:r w:rsidRPr="00C408B3">
        <w:rPr>
          <w:rFonts w:ascii="Arial" w:eastAsia="Calibri" w:hAnsi="Arial" w:cs="Arial"/>
          <w:b/>
          <w:sz w:val="21"/>
          <w:szCs w:val="21"/>
          <w:u w:val="single"/>
        </w:rPr>
        <w:t>Methodology and Data Limitations</w:t>
      </w:r>
    </w:p>
    <w:p w:rsidR="0027408F" w:rsidRDefault="0027408F" w:rsidP="004B3C20">
      <w:pPr>
        <w:spacing w:after="0" w:line="240" w:lineRule="auto"/>
        <w:rPr>
          <w:rFonts w:ascii="Arial" w:eastAsia="Calibri" w:hAnsi="Arial" w:cs="Arial"/>
          <w:b/>
          <w:sz w:val="21"/>
          <w:szCs w:val="21"/>
        </w:rPr>
      </w:pPr>
      <w:bookmarkStart w:id="0" w:name="_GoBack"/>
      <w:bookmarkEnd w:id="0"/>
    </w:p>
    <w:p w:rsidR="008E4599" w:rsidRPr="0000708F" w:rsidRDefault="0027408F" w:rsidP="004B3C20">
      <w:pPr>
        <w:spacing w:after="0" w:line="240" w:lineRule="auto"/>
        <w:rPr>
          <w:rFonts w:ascii="Arial" w:eastAsia="Calibri" w:hAnsi="Arial" w:cs="Arial"/>
          <w:sz w:val="21"/>
          <w:szCs w:val="21"/>
        </w:rPr>
      </w:pPr>
      <w:r>
        <w:rPr>
          <w:rFonts w:ascii="Arial" w:eastAsia="Calibri" w:hAnsi="Arial" w:cs="Arial"/>
          <w:sz w:val="21"/>
          <w:szCs w:val="21"/>
        </w:rPr>
        <w:t xml:space="preserve">Our time series </w:t>
      </w:r>
      <w:r w:rsidR="008E4599">
        <w:rPr>
          <w:rFonts w:ascii="Arial" w:eastAsia="Calibri" w:hAnsi="Arial" w:cs="Arial"/>
          <w:sz w:val="21"/>
          <w:szCs w:val="21"/>
        </w:rPr>
        <w:t xml:space="preserve">from 2001 onward </w:t>
      </w:r>
      <w:r>
        <w:rPr>
          <w:rFonts w:ascii="Arial" w:eastAsia="Calibri" w:hAnsi="Arial" w:cs="Arial"/>
          <w:sz w:val="21"/>
          <w:szCs w:val="21"/>
        </w:rPr>
        <w:t xml:space="preserve">is taken from the New Zealand Treasury’s </w:t>
      </w:r>
      <w:r w:rsidR="00536993">
        <w:rPr>
          <w:rFonts w:ascii="Arial" w:eastAsia="Calibri" w:hAnsi="Arial" w:cs="Arial"/>
          <w:sz w:val="21"/>
          <w:szCs w:val="21"/>
        </w:rPr>
        <w:t>archive</w:t>
      </w:r>
      <w:r>
        <w:rPr>
          <w:rFonts w:ascii="Arial" w:eastAsia="Calibri" w:hAnsi="Arial" w:cs="Arial"/>
          <w:sz w:val="21"/>
          <w:szCs w:val="21"/>
        </w:rPr>
        <w:t xml:space="preserve"> of Economic and Fiscal Updates, available </w:t>
      </w:r>
      <w:hyperlink r:id="rId6" w:history="1">
        <w:r w:rsidRPr="0027408F">
          <w:rPr>
            <w:rStyle w:val="Hyperlink"/>
            <w:rFonts w:ascii="Arial" w:eastAsia="Calibri" w:hAnsi="Arial" w:cs="Arial"/>
            <w:sz w:val="21"/>
            <w:szCs w:val="21"/>
          </w:rPr>
          <w:t>here</w:t>
        </w:r>
      </w:hyperlink>
      <w:r>
        <w:rPr>
          <w:rFonts w:ascii="Arial" w:eastAsia="Calibri" w:hAnsi="Arial" w:cs="Arial"/>
          <w:b/>
          <w:sz w:val="21"/>
          <w:szCs w:val="21"/>
        </w:rPr>
        <w:t>.</w:t>
      </w:r>
      <w:r w:rsidR="0000708F">
        <w:rPr>
          <w:rFonts w:ascii="Arial" w:eastAsia="Calibri" w:hAnsi="Arial" w:cs="Arial"/>
          <w:b/>
          <w:sz w:val="21"/>
          <w:szCs w:val="21"/>
        </w:rPr>
        <w:t xml:space="preserve"> </w:t>
      </w:r>
      <w:r w:rsidR="0000708F">
        <w:rPr>
          <w:rFonts w:ascii="Arial" w:eastAsia="Calibri" w:hAnsi="Arial" w:cs="Arial"/>
          <w:sz w:val="21"/>
          <w:szCs w:val="21"/>
        </w:rPr>
        <w:t xml:space="preserve">Data for years prior to 2001 is from Statistics New Zealand’s </w:t>
      </w:r>
      <w:proofErr w:type="spellStart"/>
      <w:r w:rsidR="0000708F">
        <w:rPr>
          <w:rFonts w:ascii="Arial" w:eastAsia="Calibri" w:hAnsi="Arial" w:cs="Arial"/>
          <w:sz w:val="21"/>
          <w:szCs w:val="21"/>
        </w:rPr>
        <w:t>Infoshare</w:t>
      </w:r>
      <w:proofErr w:type="spellEnd"/>
      <w:r w:rsidR="0000708F">
        <w:rPr>
          <w:rFonts w:ascii="Arial" w:eastAsia="Calibri" w:hAnsi="Arial" w:cs="Arial"/>
          <w:sz w:val="21"/>
          <w:szCs w:val="21"/>
        </w:rPr>
        <w:t xml:space="preserve"> data base (Central Government Accounts - </w:t>
      </w:r>
      <w:r w:rsidR="0000708F" w:rsidRPr="0000708F">
        <w:rPr>
          <w:rFonts w:ascii="Arial" w:eastAsia="Calibri" w:hAnsi="Arial" w:cs="Arial"/>
          <w:sz w:val="21"/>
          <w:szCs w:val="21"/>
        </w:rPr>
        <w:t>Government Expenditure - June year (Annual-Jun)</w:t>
      </w:r>
      <w:r w:rsidR="0000708F">
        <w:rPr>
          <w:rFonts w:ascii="Arial" w:eastAsia="Calibri" w:hAnsi="Arial" w:cs="Arial"/>
          <w:sz w:val="21"/>
          <w:szCs w:val="21"/>
        </w:rPr>
        <w:t xml:space="preserve">), available </w:t>
      </w:r>
      <w:hyperlink r:id="rId7" w:history="1">
        <w:r w:rsidR="0000708F" w:rsidRPr="0000708F">
          <w:rPr>
            <w:rStyle w:val="Hyperlink"/>
            <w:rFonts w:ascii="Arial" w:eastAsia="Calibri" w:hAnsi="Arial" w:cs="Arial"/>
            <w:sz w:val="21"/>
            <w:szCs w:val="21"/>
          </w:rPr>
          <w:t>here</w:t>
        </w:r>
      </w:hyperlink>
      <w:r w:rsidR="0000708F">
        <w:rPr>
          <w:rFonts w:ascii="Arial" w:eastAsia="Calibri" w:hAnsi="Arial" w:cs="Arial"/>
          <w:sz w:val="21"/>
          <w:szCs w:val="21"/>
        </w:rPr>
        <w:t xml:space="preserve"> . </w:t>
      </w:r>
    </w:p>
    <w:p w:rsidR="008E4599" w:rsidRDefault="008E4599" w:rsidP="004B3C20">
      <w:pPr>
        <w:spacing w:after="0" w:line="240" w:lineRule="auto"/>
        <w:rPr>
          <w:rFonts w:ascii="Arial" w:eastAsia="Calibri" w:hAnsi="Arial" w:cs="Arial"/>
          <w:b/>
          <w:sz w:val="21"/>
          <w:szCs w:val="21"/>
        </w:rPr>
      </w:pPr>
    </w:p>
    <w:p w:rsidR="00536993" w:rsidRDefault="00536993" w:rsidP="004B3C20">
      <w:pPr>
        <w:spacing w:after="0" w:line="240" w:lineRule="auto"/>
        <w:rPr>
          <w:rFonts w:ascii="Arial" w:eastAsia="Calibri" w:hAnsi="Arial" w:cs="Arial"/>
          <w:sz w:val="21"/>
          <w:szCs w:val="21"/>
        </w:rPr>
      </w:pPr>
      <w:r>
        <w:rPr>
          <w:rFonts w:ascii="Arial" w:eastAsia="Calibri" w:hAnsi="Arial" w:cs="Arial"/>
          <w:sz w:val="21"/>
          <w:szCs w:val="21"/>
        </w:rPr>
        <w:t xml:space="preserve">The analysis is based on </w:t>
      </w:r>
      <w:r w:rsidR="00F325EC">
        <w:rPr>
          <w:rFonts w:ascii="Arial" w:eastAsia="Calibri" w:hAnsi="Arial" w:cs="Arial"/>
          <w:sz w:val="21"/>
          <w:szCs w:val="21"/>
        </w:rPr>
        <w:t xml:space="preserve">the </w:t>
      </w:r>
      <w:r>
        <w:rPr>
          <w:rFonts w:ascii="Arial" w:eastAsia="Calibri" w:hAnsi="Arial" w:cs="Arial"/>
          <w:sz w:val="21"/>
          <w:szCs w:val="21"/>
        </w:rPr>
        <w:t>Classifications of the Functions of Government (COFOG) tables, which are typi</w:t>
      </w:r>
      <w:r w:rsidR="00232229">
        <w:rPr>
          <w:rFonts w:ascii="Arial" w:eastAsia="Calibri" w:hAnsi="Arial" w:cs="Arial"/>
          <w:sz w:val="21"/>
          <w:szCs w:val="21"/>
        </w:rPr>
        <w:t>cally reported in the budget under</w:t>
      </w:r>
      <w:r>
        <w:rPr>
          <w:rFonts w:ascii="Arial" w:eastAsia="Calibri" w:hAnsi="Arial" w:cs="Arial"/>
          <w:sz w:val="21"/>
          <w:szCs w:val="21"/>
        </w:rPr>
        <w:t xml:space="preserve"> “Core Crown Expense Tables”. These classifications </w:t>
      </w:r>
      <w:r w:rsidR="00F325EC">
        <w:rPr>
          <w:rFonts w:ascii="Arial" w:eastAsia="Calibri" w:hAnsi="Arial" w:cs="Arial"/>
          <w:sz w:val="21"/>
          <w:szCs w:val="21"/>
        </w:rPr>
        <w:t xml:space="preserve">are an OECD-developed framework, which </w:t>
      </w:r>
      <w:r>
        <w:rPr>
          <w:rFonts w:ascii="Arial" w:eastAsia="Calibri" w:hAnsi="Arial" w:cs="Arial"/>
          <w:sz w:val="21"/>
          <w:szCs w:val="21"/>
        </w:rPr>
        <w:t>differ from votes or appropriations</w:t>
      </w:r>
      <w:r w:rsidR="0063610E">
        <w:rPr>
          <w:rFonts w:ascii="Arial" w:eastAsia="Calibri" w:hAnsi="Arial" w:cs="Arial"/>
          <w:sz w:val="21"/>
          <w:szCs w:val="21"/>
        </w:rPr>
        <w:t xml:space="preserve"> and do not map </w:t>
      </w:r>
      <w:r w:rsidR="00F325EC">
        <w:rPr>
          <w:rFonts w:ascii="Arial" w:eastAsia="Calibri" w:hAnsi="Arial" w:cs="Arial"/>
          <w:sz w:val="21"/>
          <w:szCs w:val="21"/>
        </w:rPr>
        <w:t>on to them</w:t>
      </w:r>
      <w:r>
        <w:rPr>
          <w:rFonts w:ascii="Arial" w:eastAsia="Calibri" w:hAnsi="Arial" w:cs="Arial"/>
          <w:sz w:val="21"/>
          <w:szCs w:val="21"/>
        </w:rPr>
        <w:t xml:space="preserve"> </w:t>
      </w:r>
      <w:r w:rsidR="0063610E">
        <w:rPr>
          <w:rFonts w:ascii="Arial" w:eastAsia="Calibri" w:hAnsi="Arial" w:cs="Arial"/>
          <w:sz w:val="21"/>
          <w:szCs w:val="21"/>
        </w:rPr>
        <w:t xml:space="preserve">directly. </w:t>
      </w:r>
    </w:p>
    <w:p w:rsidR="0063610E" w:rsidRDefault="0063610E" w:rsidP="004B3C20">
      <w:pPr>
        <w:spacing w:after="0" w:line="240" w:lineRule="auto"/>
        <w:rPr>
          <w:rFonts w:ascii="Arial" w:eastAsia="Calibri" w:hAnsi="Arial" w:cs="Arial"/>
          <w:sz w:val="21"/>
          <w:szCs w:val="21"/>
        </w:rPr>
      </w:pPr>
    </w:p>
    <w:p w:rsidR="0063610E" w:rsidRDefault="0063610E" w:rsidP="004B3C20">
      <w:pPr>
        <w:spacing w:after="0" w:line="240" w:lineRule="auto"/>
        <w:rPr>
          <w:rFonts w:ascii="Arial" w:eastAsia="Calibri" w:hAnsi="Arial" w:cs="Arial"/>
          <w:sz w:val="21"/>
          <w:szCs w:val="21"/>
        </w:rPr>
      </w:pPr>
      <w:r>
        <w:rPr>
          <w:rFonts w:ascii="Arial" w:eastAsia="Calibri" w:hAnsi="Arial" w:cs="Arial"/>
          <w:sz w:val="21"/>
          <w:szCs w:val="21"/>
        </w:rPr>
        <w:t xml:space="preserve">Real, per capita measures of spending have been reached by adjusting all areas of functional classifications of </w:t>
      </w:r>
      <w:r w:rsidR="002C0453">
        <w:rPr>
          <w:rFonts w:ascii="Arial" w:eastAsia="Calibri" w:hAnsi="Arial" w:cs="Arial"/>
          <w:sz w:val="21"/>
          <w:szCs w:val="21"/>
        </w:rPr>
        <w:t xml:space="preserve">expenses for inflation and population changes. </w:t>
      </w:r>
    </w:p>
    <w:p w:rsidR="0025125F" w:rsidRDefault="0025125F" w:rsidP="004B3C20">
      <w:pPr>
        <w:spacing w:after="0" w:line="240" w:lineRule="auto"/>
        <w:rPr>
          <w:rFonts w:ascii="Arial" w:eastAsia="Calibri" w:hAnsi="Arial" w:cs="Arial"/>
          <w:sz w:val="21"/>
          <w:szCs w:val="21"/>
        </w:rPr>
      </w:pPr>
    </w:p>
    <w:p w:rsidR="0025125F" w:rsidRDefault="009D7FDF" w:rsidP="004B3C20">
      <w:pPr>
        <w:spacing w:after="0" w:line="240" w:lineRule="auto"/>
        <w:rPr>
          <w:rFonts w:ascii="Arial" w:eastAsia="Calibri" w:hAnsi="Arial" w:cs="Arial"/>
          <w:sz w:val="21"/>
          <w:szCs w:val="21"/>
        </w:rPr>
      </w:pPr>
      <w:r>
        <w:rPr>
          <w:rFonts w:ascii="Arial" w:eastAsia="Calibri" w:hAnsi="Arial" w:cs="Arial"/>
          <w:sz w:val="21"/>
          <w:szCs w:val="21"/>
        </w:rPr>
        <w:t>Our focus is</w:t>
      </w:r>
      <w:r w:rsidR="0025125F">
        <w:rPr>
          <w:rFonts w:ascii="Arial" w:eastAsia="Calibri" w:hAnsi="Arial" w:cs="Arial"/>
          <w:sz w:val="21"/>
          <w:szCs w:val="21"/>
        </w:rPr>
        <w:t xml:space="preserve"> on inputs to government services. As such, we are making no comments about outputs, or the purposes to which spending is directed. </w:t>
      </w:r>
    </w:p>
    <w:p w:rsidR="002C0453" w:rsidRDefault="002C0453" w:rsidP="004B3C20">
      <w:pPr>
        <w:spacing w:after="0" w:line="240" w:lineRule="auto"/>
        <w:rPr>
          <w:rFonts w:ascii="Arial" w:eastAsia="Calibri" w:hAnsi="Arial" w:cs="Arial"/>
          <w:sz w:val="21"/>
          <w:szCs w:val="21"/>
        </w:rPr>
      </w:pPr>
    </w:p>
    <w:p w:rsidR="009C21CD" w:rsidRPr="009C21CD" w:rsidRDefault="009C21CD" w:rsidP="004B3C20">
      <w:pPr>
        <w:spacing w:after="0" w:line="240" w:lineRule="auto"/>
        <w:rPr>
          <w:rFonts w:ascii="Arial" w:eastAsia="Calibri" w:hAnsi="Arial" w:cs="Arial"/>
          <w:b/>
          <w:sz w:val="21"/>
          <w:szCs w:val="21"/>
        </w:rPr>
      </w:pPr>
      <w:r>
        <w:rPr>
          <w:rFonts w:ascii="Arial" w:eastAsia="Calibri" w:hAnsi="Arial" w:cs="Arial"/>
          <w:b/>
          <w:sz w:val="21"/>
          <w:szCs w:val="21"/>
        </w:rPr>
        <w:t>Cost-Adjustment</w:t>
      </w:r>
    </w:p>
    <w:p w:rsidR="009C21CD" w:rsidRDefault="009C21CD" w:rsidP="004B3C20">
      <w:pPr>
        <w:spacing w:after="0" w:line="240" w:lineRule="auto"/>
        <w:rPr>
          <w:rFonts w:ascii="Arial" w:eastAsia="Calibri" w:hAnsi="Arial" w:cs="Arial"/>
          <w:sz w:val="21"/>
          <w:szCs w:val="21"/>
        </w:rPr>
      </w:pPr>
    </w:p>
    <w:p w:rsidR="002C0453" w:rsidRDefault="002C0453" w:rsidP="004B3C20">
      <w:pPr>
        <w:spacing w:after="0" w:line="240" w:lineRule="auto"/>
        <w:rPr>
          <w:rFonts w:ascii="Arial" w:eastAsia="Calibri" w:hAnsi="Arial" w:cs="Arial"/>
          <w:sz w:val="21"/>
          <w:szCs w:val="21"/>
        </w:rPr>
      </w:pPr>
      <w:r>
        <w:rPr>
          <w:rFonts w:ascii="Arial" w:eastAsia="Calibri" w:hAnsi="Arial" w:cs="Arial"/>
          <w:sz w:val="21"/>
          <w:szCs w:val="21"/>
        </w:rPr>
        <w:t>Inflation adjustments have been made according to the Consumer Price Index (CPI). Historical data on the CPI has been t</w:t>
      </w:r>
      <w:r w:rsidR="00FD63E8">
        <w:rPr>
          <w:rFonts w:ascii="Arial" w:eastAsia="Calibri" w:hAnsi="Arial" w:cs="Arial"/>
          <w:sz w:val="21"/>
          <w:szCs w:val="21"/>
        </w:rPr>
        <w:t xml:space="preserve">aken from the </w:t>
      </w:r>
      <w:hyperlink r:id="rId8" w:history="1">
        <w:r w:rsidR="00FD63E8" w:rsidRPr="00FD63E8">
          <w:rPr>
            <w:rStyle w:val="Hyperlink"/>
            <w:rFonts w:ascii="Arial" w:eastAsia="Calibri" w:hAnsi="Arial" w:cs="Arial"/>
            <w:sz w:val="21"/>
            <w:szCs w:val="21"/>
          </w:rPr>
          <w:t>Reserve Bank of New Zealand</w:t>
        </w:r>
      </w:hyperlink>
      <w:r w:rsidR="00FD63E8">
        <w:rPr>
          <w:rFonts w:ascii="Arial" w:eastAsia="Calibri" w:hAnsi="Arial" w:cs="Arial"/>
          <w:sz w:val="21"/>
          <w:szCs w:val="21"/>
        </w:rPr>
        <w:t xml:space="preserve">. The quarterly annualised rates have been averaged to a yearly figure to the June Quarter (Q2), which better aligns the inflation figures with both the budget year and the population figures. </w:t>
      </w:r>
    </w:p>
    <w:p w:rsidR="002B7044" w:rsidRDefault="002B7044" w:rsidP="004B3C20">
      <w:pPr>
        <w:spacing w:after="0" w:line="240" w:lineRule="auto"/>
        <w:rPr>
          <w:rFonts w:ascii="Arial" w:eastAsia="Calibri" w:hAnsi="Arial" w:cs="Arial"/>
          <w:sz w:val="21"/>
          <w:szCs w:val="21"/>
        </w:rPr>
      </w:pPr>
    </w:p>
    <w:p w:rsidR="002B7044" w:rsidRDefault="002B7044" w:rsidP="004B3C20">
      <w:pPr>
        <w:spacing w:after="0" w:line="240" w:lineRule="auto"/>
        <w:rPr>
          <w:rFonts w:ascii="Arial" w:eastAsia="Calibri" w:hAnsi="Arial" w:cs="Arial"/>
          <w:sz w:val="21"/>
          <w:szCs w:val="21"/>
        </w:rPr>
      </w:pPr>
      <w:r>
        <w:rPr>
          <w:rFonts w:ascii="Arial" w:eastAsia="Calibri" w:hAnsi="Arial" w:cs="Arial"/>
          <w:sz w:val="21"/>
          <w:szCs w:val="21"/>
        </w:rPr>
        <w:t xml:space="preserve">For the forecast years included in Budget 2017, </w:t>
      </w:r>
      <w:r w:rsidR="000D323B" w:rsidRPr="000D323B">
        <w:rPr>
          <w:rFonts w:ascii="Arial" w:eastAsia="Calibri" w:hAnsi="Arial" w:cs="Arial"/>
          <w:sz w:val="21"/>
          <w:szCs w:val="21"/>
        </w:rPr>
        <w:t xml:space="preserve">we have adopted the forecasts set out in 2017 Budget Economic and Fiscal </w:t>
      </w:r>
      <w:proofErr w:type="gramStart"/>
      <w:r w:rsidR="000D323B" w:rsidRPr="000D323B">
        <w:rPr>
          <w:rFonts w:ascii="Arial" w:eastAsia="Calibri" w:hAnsi="Arial" w:cs="Arial"/>
          <w:sz w:val="21"/>
          <w:szCs w:val="21"/>
        </w:rPr>
        <w:t>Update</w:t>
      </w:r>
      <w:r w:rsidR="000D323B" w:rsidRPr="000D323B" w:rsidDel="000D323B">
        <w:rPr>
          <w:rFonts w:ascii="Arial" w:eastAsia="Calibri" w:hAnsi="Arial" w:cs="Arial"/>
          <w:sz w:val="21"/>
          <w:szCs w:val="21"/>
        </w:rPr>
        <w:t xml:space="preserve"> </w:t>
      </w:r>
      <w:r w:rsidR="00661F21">
        <w:rPr>
          <w:rFonts w:ascii="Arial" w:eastAsia="Calibri" w:hAnsi="Arial" w:cs="Arial"/>
          <w:sz w:val="21"/>
          <w:szCs w:val="21"/>
        </w:rPr>
        <w:t>.</w:t>
      </w:r>
      <w:proofErr w:type="gramEnd"/>
      <w:r w:rsidR="00661F21">
        <w:rPr>
          <w:rFonts w:ascii="Arial" w:eastAsia="Calibri" w:hAnsi="Arial" w:cs="Arial"/>
          <w:sz w:val="21"/>
          <w:szCs w:val="21"/>
        </w:rPr>
        <w:t xml:space="preserve"> </w:t>
      </w:r>
    </w:p>
    <w:p w:rsidR="00FD63E8" w:rsidRDefault="00FD63E8" w:rsidP="004B3C20">
      <w:pPr>
        <w:spacing w:after="0" w:line="240" w:lineRule="auto"/>
        <w:rPr>
          <w:rFonts w:ascii="Arial" w:eastAsia="Calibri" w:hAnsi="Arial" w:cs="Arial"/>
          <w:sz w:val="21"/>
          <w:szCs w:val="21"/>
        </w:rPr>
      </w:pPr>
    </w:p>
    <w:p w:rsidR="00FD63E8" w:rsidRDefault="00FD63E8" w:rsidP="004B3C20">
      <w:pPr>
        <w:spacing w:after="0" w:line="240" w:lineRule="auto"/>
        <w:rPr>
          <w:rFonts w:ascii="Arial" w:eastAsia="Calibri" w:hAnsi="Arial" w:cs="Arial"/>
          <w:sz w:val="21"/>
          <w:szCs w:val="21"/>
        </w:rPr>
      </w:pPr>
      <w:r>
        <w:rPr>
          <w:rFonts w:ascii="Arial" w:eastAsia="Calibri" w:hAnsi="Arial" w:cs="Arial"/>
          <w:sz w:val="21"/>
          <w:szCs w:val="21"/>
        </w:rPr>
        <w:t xml:space="preserve">As an index of price changes, the CPI is a common and simplified measure, but it is constructed to be representative of the prices </w:t>
      </w:r>
      <w:r w:rsidR="0035502E">
        <w:rPr>
          <w:rFonts w:ascii="Arial" w:eastAsia="Calibri" w:hAnsi="Arial" w:cs="Arial"/>
          <w:sz w:val="21"/>
          <w:szCs w:val="21"/>
        </w:rPr>
        <w:t>faced by private consumers</w:t>
      </w:r>
      <w:r>
        <w:rPr>
          <w:rFonts w:ascii="Arial" w:eastAsia="Calibri" w:hAnsi="Arial" w:cs="Arial"/>
          <w:sz w:val="21"/>
          <w:szCs w:val="21"/>
        </w:rPr>
        <w:t xml:space="preserve"> –</w:t>
      </w:r>
      <w:r w:rsidR="0035502E">
        <w:rPr>
          <w:rFonts w:ascii="Arial" w:eastAsia="Calibri" w:hAnsi="Arial" w:cs="Arial"/>
          <w:sz w:val="21"/>
          <w:szCs w:val="21"/>
        </w:rPr>
        <w:t xml:space="preserve"> not </w:t>
      </w:r>
      <w:r>
        <w:rPr>
          <w:rFonts w:ascii="Arial" w:eastAsia="Calibri" w:hAnsi="Arial" w:cs="Arial"/>
          <w:sz w:val="21"/>
          <w:szCs w:val="21"/>
        </w:rPr>
        <w:t xml:space="preserve">government departments. It therefore does not provide a direct measure of cost pressures for any specific area of government spending, and we urge caution in drawing direct conclusions to that effect. We also encourage other researchers to build upon this analysis by taking appropriate account of actual cost pressures in specific areas. </w:t>
      </w:r>
    </w:p>
    <w:p w:rsidR="00FD63E8" w:rsidRDefault="00FD63E8" w:rsidP="004B3C20">
      <w:pPr>
        <w:spacing w:after="0" w:line="240" w:lineRule="auto"/>
        <w:rPr>
          <w:rFonts w:ascii="Arial" w:eastAsia="Calibri" w:hAnsi="Arial" w:cs="Arial"/>
          <w:sz w:val="21"/>
          <w:szCs w:val="21"/>
        </w:rPr>
      </w:pPr>
    </w:p>
    <w:p w:rsidR="00FD63E8" w:rsidRDefault="00FD63E8" w:rsidP="004B3C20">
      <w:pPr>
        <w:spacing w:after="0" w:line="240" w:lineRule="auto"/>
        <w:rPr>
          <w:rFonts w:ascii="Arial" w:eastAsia="Calibri" w:hAnsi="Arial" w:cs="Arial"/>
          <w:sz w:val="21"/>
          <w:szCs w:val="21"/>
        </w:rPr>
      </w:pPr>
      <w:r>
        <w:rPr>
          <w:rFonts w:ascii="Arial" w:eastAsia="Calibri" w:hAnsi="Arial" w:cs="Arial"/>
          <w:sz w:val="21"/>
          <w:szCs w:val="21"/>
        </w:rPr>
        <w:t>Instead, an adjustment of government spending on the basis of the CPI is simply to take acco</w:t>
      </w:r>
      <w:r w:rsidR="00232229">
        <w:rPr>
          <w:rFonts w:ascii="Arial" w:eastAsia="Calibri" w:hAnsi="Arial" w:cs="Arial"/>
          <w:sz w:val="21"/>
          <w:szCs w:val="21"/>
        </w:rPr>
        <w:t>unt of the general change in</w:t>
      </w:r>
      <w:r>
        <w:rPr>
          <w:rFonts w:ascii="Arial" w:eastAsia="Calibri" w:hAnsi="Arial" w:cs="Arial"/>
          <w:sz w:val="21"/>
          <w:szCs w:val="21"/>
        </w:rPr>
        <w:t xml:space="preserve"> price level</w:t>
      </w:r>
      <w:r w:rsidR="00232229">
        <w:rPr>
          <w:rFonts w:ascii="Arial" w:eastAsia="Calibri" w:hAnsi="Arial" w:cs="Arial"/>
          <w:sz w:val="21"/>
          <w:szCs w:val="21"/>
        </w:rPr>
        <w:t>s</w:t>
      </w:r>
      <w:r>
        <w:rPr>
          <w:rFonts w:ascii="Arial" w:eastAsia="Calibri" w:hAnsi="Arial" w:cs="Arial"/>
          <w:sz w:val="21"/>
          <w:szCs w:val="21"/>
        </w:rPr>
        <w:t>, according to the most commonly</w:t>
      </w:r>
      <w:r w:rsidR="0000708F">
        <w:rPr>
          <w:rFonts w:ascii="Arial" w:eastAsia="Calibri" w:hAnsi="Arial" w:cs="Arial"/>
          <w:sz w:val="21"/>
          <w:szCs w:val="21"/>
        </w:rPr>
        <w:t>-</w:t>
      </w:r>
      <w:r>
        <w:rPr>
          <w:rFonts w:ascii="Arial" w:eastAsia="Calibri" w:hAnsi="Arial" w:cs="Arial"/>
          <w:sz w:val="21"/>
          <w:szCs w:val="21"/>
        </w:rPr>
        <w:t xml:space="preserve">used </w:t>
      </w:r>
      <w:r w:rsidR="0035502E">
        <w:rPr>
          <w:rFonts w:ascii="Arial" w:eastAsia="Calibri" w:hAnsi="Arial" w:cs="Arial"/>
          <w:sz w:val="21"/>
          <w:szCs w:val="21"/>
        </w:rPr>
        <w:t xml:space="preserve">price </w:t>
      </w:r>
      <w:r>
        <w:rPr>
          <w:rFonts w:ascii="Arial" w:eastAsia="Calibri" w:hAnsi="Arial" w:cs="Arial"/>
          <w:sz w:val="21"/>
          <w:szCs w:val="21"/>
        </w:rPr>
        <w:t xml:space="preserve">index. At a more technical level, adjustment for the CPI can also be understood as a measure of the opportunity cost of government spending. This is because </w:t>
      </w:r>
      <w:r w:rsidR="0035502E">
        <w:rPr>
          <w:rFonts w:ascii="Arial" w:eastAsia="Calibri" w:hAnsi="Arial" w:cs="Arial"/>
          <w:sz w:val="21"/>
          <w:szCs w:val="21"/>
        </w:rPr>
        <w:t xml:space="preserve">all government spending is funded out of taxation, and the CPI provides the most comprehensive measure of how such resources would otherwise have been consumed. </w:t>
      </w:r>
    </w:p>
    <w:p w:rsidR="009C21CD" w:rsidRDefault="009C21CD" w:rsidP="004B3C20">
      <w:pPr>
        <w:spacing w:after="0" w:line="240" w:lineRule="auto"/>
        <w:rPr>
          <w:rFonts w:ascii="Arial" w:eastAsia="Calibri" w:hAnsi="Arial" w:cs="Arial"/>
          <w:sz w:val="21"/>
          <w:szCs w:val="21"/>
        </w:rPr>
      </w:pPr>
    </w:p>
    <w:p w:rsidR="009C21CD" w:rsidRDefault="009C21CD" w:rsidP="004B3C20">
      <w:pPr>
        <w:spacing w:after="0" w:line="240" w:lineRule="auto"/>
        <w:rPr>
          <w:rFonts w:ascii="Arial" w:eastAsia="Calibri" w:hAnsi="Arial" w:cs="Arial"/>
          <w:b/>
          <w:sz w:val="21"/>
          <w:szCs w:val="21"/>
        </w:rPr>
      </w:pPr>
      <w:r w:rsidRPr="009C21CD">
        <w:rPr>
          <w:rFonts w:ascii="Arial" w:eastAsia="Calibri" w:hAnsi="Arial" w:cs="Arial"/>
          <w:b/>
          <w:sz w:val="21"/>
          <w:szCs w:val="21"/>
        </w:rPr>
        <w:t>Population Adjustments</w:t>
      </w:r>
    </w:p>
    <w:p w:rsidR="009C21CD" w:rsidRDefault="009C21CD" w:rsidP="004B3C20">
      <w:pPr>
        <w:spacing w:after="0" w:line="240" w:lineRule="auto"/>
        <w:rPr>
          <w:rFonts w:ascii="Arial" w:eastAsia="Calibri" w:hAnsi="Arial" w:cs="Arial"/>
          <w:sz w:val="21"/>
          <w:szCs w:val="21"/>
        </w:rPr>
      </w:pPr>
      <w:r>
        <w:rPr>
          <w:rFonts w:ascii="Arial" w:eastAsia="Calibri" w:hAnsi="Arial" w:cs="Arial"/>
          <w:sz w:val="21"/>
          <w:szCs w:val="21"/>
        </w:rPr>
        <w:t xml:space="preserve">Historical population figures have been taken from Statistics New Zealand’s </w:t>
      </w:r>
      <w:hyperlink r:id="rId9" w:history="1">
        <w:proofErr w:type="spellStart"/>
        <w:r w:rsidRPr="007F6772">
          <w:rPr>
            <w:rStyle w:val="Hyperlink"/>
            <w:rFonts w:ascii="Arial" w:eastAsia="Calibri" w:hAnsi="Arial" w:cs="Arial"/>
            <w:sz w:val="21"/>
            <w:szCs w:val="21"/>
          </w:rPr>
          <w:t>Infoshare</w:t>
        </w:r>
        <w:proofErr w:type="spellEnd"/>
        <w:r w:rsidRPr="007F6772">
          <w:rPr>
            <w:rStyle w:val="Hyperlink"/>
            <w:rFonts w:ascii="Arial" w:eastAsia="Calibri" w:hAnsi="Arial" w:cs="Arial"/>
            <w:sz w:val="21"/>
            <w:szCs w:val="21"/>
          </w:rPr>
          <w:t xml:space="preserve"> database</w:t>
        </w:r>
      </w:hyperlink>
      <w:r>
        <w:rPr>
          <w:rFonts w:ascii="Arial" w:eastAsia="Calibri" w:hAnsi="Arial" w:cs="Arial"/>
          <w:sz w:val="21"/>
          <w:szCs w:val="21"/>
        </w:rPr>
        <w:t xml:space="preserve">, “Estimated Residential Population (Mean Quarter Ended) by Sex (1991+) </w:t>
      </w:r>
      <w:r w:rsidR="00403D11">
        <w:rPr>
          <w:rFonts w:ascii="Arial" w:eastAsia="Calibri" w:hAnsi="Arial" w:cs="Arial"/>
          <w:sz w:val="21"/>
          <w:szCs w:val="21"/>
        </w:rPr>
        <w:t>(</w:t>
      </w:r>
      <w:proofErr w:type="spellStart"/>
      <w:r w:rsidR="00403D11">
        <w:rPr>
          <w:rFonts w:ascii="Arial" w:eastAsia="Calibri" w:hAnsi="Arial" w:cs="Arial"/>
          <w:sz w:val="21"/>
          <w:szCs w:val="21"/>
        </w:rPr>
        <w:t>Qrtly</w:t>
      </w:r>
      <w:proofErr w:type="spellEnd"/>
      <w:r w:rsidR="00403D11">
        <w:rPr>
          <w:rFonts w:ascii="Arial" w:eastAsia="Calibri" w:hAnsi="Arial" w:cs="Arial"/>
          <w:sz w:val="21"/>
          <w:szCs w:val="21"/>
        </w:rPr>
        <w:t xml:space="preserve"> – Mar/Jun/Sep/Dec)”. Figures to Q2 each year have been used to align more closely with the budget year, as well as the annualised CPI data (as discussed). </w:t>
      </w:r>
    </w:p>
    <w:p w:rsidR="00403D11" w:rsidRDefault="00403D11" w:rsidP="004B3C20">
      <w:pPr>
        <w:spacing w:after="0" w:line="240" w:lineRule="auto"/>
        <w:rPr>
          <w:rFonts w:ascii="Arial" w:eastAsia="Calibri" w:hAnsi="Arial" w:cs="Arial"/>
          <w:sz w:val="21"/>
          <w:szCs w:val="21"/>
        </w:rPr>
      </w:pPr>
    </w:p>
    <w:p w:rsidR="00403D11" w:rsidRDefault="00403D11" w:rsidP="004B3C20">
      <w:pPr>
        <w:spacing w:after="0" w:line="240" w:lineRule="auto"/>
        <w:rPr>
          <w:rFonts w:ascii="Arial" w:eastAsia="Calibri" w:hAnsi="Arial" w:cs="Arial"/>
          <w:sz w:val="21"/>
          <w:szCs w:val="21"/>
        </w:rPr>
      </w:pPr>
      <w:r>
        <w:rPr>
          <w:rFonts w:ascii="Arial" w:eastAsia="Calibri" w:hAnsi="Arial" w:cs="Arial"/>
          <w:sz w:val="21"/>
          <w:szCs w:val="21"/>
        </w:rPr>
        <w:t xml:space="preserve">Population projections have been taken from </w:t>
      </w:r>
      <w:r w:rsidR="006679F3">
        <w:rPr>
          <w:rFonts w:ascii="Arial" w:eastAsia="Calibri" w:hAnsi="Arial" w:cs="Arial"/>
          <w:sz w:val="21"/>
          <w:szCs w:val="21"/>
        </w:rPr>
        <w:t xml:space="preserve">the </w:t>
      </w:r>
      <w:r w:rsidR="006679F3" w:rsidRPr="006679F3">
        <w:rPr>
          <w:rFonts w:ascii="Arial" w:eastAsia="Calibri" w:hAnsi="Arial" w:cs="Arial"/>
          <w:sz w:val="21"/>
          <w:szCs w:val="21"/>
        </w:rPr>
        <w:t>2017 Budget Economic and Fiscal Update</w:t>
      </w:r>
      <w:r w:rsidR="006679F3">
        <w:rPr>
          <w:rFonts w:ascii="Arial" w:eastAsia="Calibri" w:hAnsi="Arial" w:cs="Arial"/>
          <w:sz w:val="21"/>
          <w:szCs w:val="21"/>
        </w:rPr>
        <w:t>.</w:t>
      </w:r>
    </w:p>
    <w:p w:rsidR="0000708F" w:rsidRDefault="0000708F" w:rsidP="004B3C20">
      <w:pPr>
        <w:spacing w:after="0" w:line="240" w:lineRule="auto"/>
        <w:rPr>
          <w:rFonts w:ascii="Arial" w:eastAsia="Calibri" w:hAnsi="Arial" w:cs="Arial"/>
          <w:sz w:val="21"/>
          <w:szCs w:val="21"/>
        </w:rPr>
      </w:pPr>
    </w:p>
    <w:p w:rsidR="0000708F" w:rsidRPr="0000708F" w:rsidRDefault="0000708F" w:rsidP="004B3C20">
      <w:pPr>
        <w:spacing w:after="0" w:line="240" w:lineRule="auto"/>
        <w:rPr>
          <w:rFonts w:ascii="Arial" w:eastAsia="Calibri" w:hAnsi="Arial" w:cs="Arial"/>
          <w:b/>
          <w:sz w:val="21"/>
          <w:szCs w:val="21"/>
        </w:rPr>
      </w:pPr>
      <w:r>
        <w:rPr>
          <w:rFonts w:ascii="Arial" w:eastAsia="Calibri" w:hAnsi="Arial" w:cs="Arial"/>
          <w:b/>
          <w:sz w:val="21"/>
          <w:szCs w:val="21"/>
        </w:rPr>
        <w:t>Adjustments to Data</w:t>
      </w:r>
    </w:p>
    <w:p w:rsidR="00536993" w:rsidRDefault="00536993" w:rsidP="004B3C20">
      <w:pPr>
        <w:spacing w:after="0" w:line="240" w:lineRule="auto"/>
        <w:rPr>
          <w:rFonts w:ascii="Arial" w:eastAsia="Calibri" w:hAnsi="Arial" w:cs="Arial"/>
          <w:b/>
          <w:sz w:val="21"/>
          <w:szCs w:val="21"/>
        </w:rPr>
      </w:pPr>
    </w:p>
    <w:p w:rsidR="0027408F" w:rsidRDefault="00536993" w:rsidP="004B3C20">
      <w:pPr>
        <w:spacing w:after="0" w:line="240" w:lineRule="auto"/>
        <w:rPr>
          <w:rFonts w:ascii="Arial" w:eastAsia="Calibri" w:hAnsi="Arial" w:cs="Arial"/>
          <w:sz w:val="21"/>
          <w:szCs w:val="21"/>
        </w:rPr>
      </w:pPr>
      <w:r>
        <w:rPr>
          <w:rFonts w:ascii="Arial" w:eastAsia="Calibri" w:hAnsi="Arial" w:cs="Arial"/>
          <w:sz w:val="21"/>
          <w:szCs w:val="21"/>
        </w:rPr>
        <w:t>In all instances, more recent revisions of historical data have been used</w:t>
      </w:r>
      <w:r w:rsidR="0000708F">
        <w:rPr>
          <w:rFonts w:ascii="Arial" w:eastAsia="Calibri" w:hAnsi="Arial" w:cs="Arial"/>
          <w:sz w:val="21"/>
          <w:szCs w:val="21"/>
        </w:rPr>
        <w:t>, in order</w:t>
      </w:r>
      <w:r>
        <w:rPr>
          <w:rFonts w:ascii="Arial" w:eastAsia="Calibri" w:hAnsi="Arial" w:cs="Arial"/>
          <w:sz w:val="21"/>
          <w:szCs w:val="21"/>
        </w:rPr>
        <w:t xml:space="preserve"> to account for changes in financial reporting</w:t>
      </w:r>
      <w:r w:rsidR="00F325EC">
        <w:rPr>
          <w:rFonts w:ascii="Arial" w:eastAsia="Calibri" w:hAnsi="Arial" w:cs="Arial"/>
          <w:sz w:val="21"/>
          <w:szCs w:val="21"/>
        </w:rPr>
        <w:t>. One notable revision occurred in the year ending June 2008, due to the implementation of International Financial Reporting Standards (IFRS). Revised historical data has been used for budget year 2003 onward</w:t>
      </w:r>
      <w:r w:rsidR="0063610E">
        <w:rPr>
          <w:rFonts w:ascii="Arial" w:eastAsia="Calibri" w:hAnsi="Arial" w:cs="Arial"/>
          <w:sz w:val="21"/>
          <w:szCs w:val="21"/>
        </w:rPr>
        <w:t>, due to these previous years being available in the 2008 budget documentation</w:t>
      </w:r>
      <w:r w:rsidR="00F325EC">
        <w:rPr>
          <w:rFonts w:ascii="Arial" w:eastAsia="Calibri" w:hAnsi="Arial" w:cs="Arial"/>
          <w:sz w:val="21"/>
          <w:szCs w:val="21"/>
        </w:rPr>
        <w:t xml:space="preserve">; however, caution is warranted in making comparisons with years for which revised data is not available (2002 and </w:t>
      </w:r>
      <w:r w:rsidR="0063610E">
        <w:rPr>
          <w:rFonts w:ascii="Arial" w:eastAsia="Calibri" w:hAnsi="Arial" w:cs="Arial"/>
          <w:sz w:val="21"/>
          <w:szCs w:val="21"/>
        </w:rPr>
        <w:t>earlier).</w:t>
      </w:r>
      <w:r>
        <w:rPr>
          <w:rFonts w:ascii="Arial" w:eastAsia="Calibri" w:hAnsi="Arial" w:cs="Arial"/>
          <w:sz w:val="21"/>
          <w:szCs w:val="21"/>
        </w:rPr>
        <w:t xml:space="preserve">  </w:t>
      </w:r>
    </w:p>
    <w:p w:rsidR="00EC6B49" w:rsidRDefault="00EC6B49" w:rsidP="004B3C20">
      <w:pPr>
        <w:spacing w:after="0" w:line="240" w:lineRule="auto"/>
        <w:rPr>
          <w:rFonts w:ascii="Arial" w:eastAsia="Calibri" w:hAnsi="Arial" w:cs="Arial"/>
          <w:sz w:val="21"/>
          <w:szCs w:val="21"/>
        </w:rPr>
      </w:pPr>
    </w:p>
    <w:p w:rsidR="00EC6B49" w:rsidRPr="00536993" w:rsidRDefault="00EC6B49" w:rsidP="004B3C20">
      <w:pPr>
        <w:spacing w:after="0" w:line="240" w:lineRule="auto"/>
        <w:rPr>
          <w:rFonts w:ascii="Arial" w:eastAsia="Calibri" w:hAnsi="Arial" w:cs="Arial"/>
          <w:sz w:val="21"/>
          <w:szCs w:val="21"/>
        </w:rPr>
      </w:pPr>
      <w:r>
        <w:rPr>
          <w:rFonts w:ascii="Arial" w:eastAsia="Calibri" w:hAnsi="Arial" w:cs="Arial"/>
          <w:sz w:val="21"/>
          <w:szCs w:val="21"/>
        </w:rPr>
        <w:t xml:space="preserve">For the forecast fiscal years, both Forecast New Operating Spending and Top-down Expense Adjustments have been allocated to core crown expenditure classes in accordance with the formula set out in the 2016 Fiscal Strategy Model. These shares of both categories are based on </w:t>
      </w:r>
      <w:r w:rsidR="00487F37">
        <w:rPr>
          <w:rFonts w:ascii="Arial" w:eastAsia="Calibri" w:hAnsi="Arial" w:cs="Arial"/>
          <w:sz w:val="21"/>
          <w:szCs w:val="21"/>
        </w:rPr>
        <w:t>historical shares of government spending, and allocating them according to this formula avoids what would be a misleading spending trajectory for specific categories</w:t>
      </w:r>
      <w:r w:rsidR="0000708F">
        <w:rPr>
          <w:rFonts w:ascii="Arial" w:eastAsia="Calibri" w:hAnsi="Arial" w:cs="Arial"/>
          <w:sz w:val="21"/>
          <w:szCs w:val="21"/>
        </w:rPr>
        <w:t xml:space="preserve"> over the medium-</w:t>
      </w:r>
      <w:r w:rsidR="00487F37">
        <w:rPr>
          <w:rFonts w:ascii="Arial" w:eastAsia="Calibri" w:hAnsi="Arial" w:cs="Arial"/>
          <w:sz w:val="21"/>
          <w:szCs w:val="21"/>
        </w:rPr>
        <w:t xml:space="preserve">term. </w:t>
      </w:r>
      <w:r>
        <w:rPr>
          <w:rFonts w:ascii="Arial" w:eastAsia="Calibri" w:hAnsi="Arial" w:cs="Arial"/>
          <w:sz w:val="21"/>
          <w:szCs w:val="21"/>
        </w:rPr>
        <w:t xml:space="preserve"> </w:t>
      </w:r>
    </w:p>
    <w:p w:rsidR="0027408F" w:rsidRDefault="0027408F" w:rsidP="004B3C20">
      <w:pPr>
        <w:spacing w:after="0" w:line="240" w:lineRule="auto"/>
        <w:rPr>
          <w:rFonts w:ascii="Arial" w:eastAsia="Calibri" w:hAnsi="Arial" w:cs="Arial"/>
          <w:b/>
          <w:sz w:val="32"/>
          <w:szCs w:val="32"/>
        </w:rPr>
      </w:pPr>
    </w:p>
    <w:sectPr w:rsidR="00274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D690B"/>
    <w:multiLevelType w:val="hybridMultilevel"/>
    <w:tmpl w:val="56D48FB2"/>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CC"/>
    <w:rsid w:val="0000708F"/>
    <w:rsid w:val="0001762D"/>
    <w:rsid w:val="00020341"/>
    <w:rsid w:val="000251E7"/>
    <w:rsid w:val="00026A98"/>
    <w:rsid w:val="00036437"/>
    <w:rsid w:val="00050F09"/>
    <w:rsid w:val="0005624E"/>
    <w:rsid w:val="00057921"/>
    <w:rsid w:val="0008327E"/>
    <w:rsid w:val="00091BB2"/>
    <w:rsid w:val="00096719"/>
    <w:rsid w:val="000970B3"/>
    <w:rsid w:val="000C2048"/>
    <w:rsid w:val="000C5C37"/>
    <w:rsid w:val="000D067E"/>
    <w:rsid w:val="000D323B"/>
    <w:rsid w:val="000E5276"/>
    <w:rsid w:val="00100DF0"/>
    <w:rsid w:val="001219D0"/>
    <w:rsid w:val="0012545D"/>
    <w:rsid w:val="00125494"/>
    <w:rsid w:val="001270C0"/>
    <w:rsid w:val="0013032E"/>
    <w:rsid w:val="00135DD7"/>
    <w:rsid w:val="0014611E"/>
    <w:rsid w:val="001514B4"/>
    <w:rsid w:val="00160550"/>
    <w:rsid w:val="0016639C"/>
    <w:rsid w:val="00166A1C"/>
    <w:rsid w:val="0018152B"/>
    <w:rsid w:val="00185E3F"/>
    <w:rsid w:val="00191565"/>
    <w:rsid w:val="001A0966"/>
    <w:rsid w:val="001A35A1"/>
    <w:rsid w:val="001B27B0"/>
    <w:rsid w:val="001B609A"/>
    <w:rsid w:val="001C378B"/>
    <w:rsid w:val="001D3C4E"/>
    <w:rsid w:val="001F28BD"/>
    <w:rsid w:val="00201457"/>
    <w:rsid w:val="002067B9"/>
    <w:rsid w:val="00213E17"/>
    <w:rsid w:val="00216708"/>
    <w:rsid w:val="002176D2"/>
    <w:rsid w:val="00225D9F"/>
    <w:rsid w:val="00227C05"/>
    <w:rsid w:val="00230E3D"/>
    <w:rsid w:val="00232229"/>
    <w:rsid w:val="00234D74"/>
    <w:rsid w:val="0023544F"/>
    <w:rsid w:val="00245E48"/>
    <w:rsid w:val="00250E8F"/>
    <w:rsid w:val="002510E2"/>
    <w:rsid w:val="0025125F"/>
    <w:rsid w:val="00254D0B"/>
    <w:rsid w:val="00257C16"/>
    <w:rsid w:val="00261921"/>
    <w:rsid w:val="00261C12"/>
    <w:rsid w:val="00264509"/>
    <w:rsid w:val="002714AC"/>
    <w:rsid w:val="0027408F"/>
    <w:rsid w:val="00276A10"/>
    <w:rsid w:val="002805F7"/>
    <w:rsid w:val="00284DDE"/>
    <w:rsid w:val="002874DB"/>
    <w:rsid w:val="00290C5D"/>
    <w:rsid w:val="002A0E7E"/>
    <w:rsid w:val="002A53E8"/>
    <w:rsid w:val="002A7371"/>
    <w:rsid w:val="002B7044"/>
    <w:rsid w:val="002C0453"/>
    <w:rsid w:val="002C1EB5"/>
    <w:rsid w:val="002C4D9C"/>
    <w:rsid w:val="002D11A1"/>
    <w:rsid w:val="002D3BFB"/>
    <w:rsid w:val="002E3F7F"/>
    <w:rsid w:val="002E7303"/>
    <w:rsid w:val="002F25CD"/>
    <w:rsid w:val="002F57D7"/>
    <w:rsid w:val="002F6680"/>
    <w:rsid w:val="00310BA8"/>
    <w:rsid w:val="00321375"/>
    <w:rsid w:val="00322CC9"/>
    <w:rsid w:val="003232D8"/>
    <w:rsid w:val="00334D97"/>
    <w:rsid w:val="00334F4A"/>
    <w:rsid w:val="00337EB3"/>
    <w:rsid w:val="00340B1F"/>
    <w:rsid w:val="00343F46"/>
    <w:rsid w:val="00343F84"/>
    <w:rsid w:val="00344D4E"/>
    <w:rsid w:val="003475F3"/>
    <w:rsid w:val="0035502E"/>
    <w:rsid w:val="003604DA"/>
    <w:rsid w:val="00364BA7"/>
    <w:rsid w:val="00370532"/>
    <w:rsid w:val="003A475C"/>
    <w:rsid w:val="003D312B"/>
    <w:rsid w:val="003D7792"/>
    <w:rsid w:val="003E7E3B"/>
    <w:rsid w:val="003F6864"/>
    <w:rsid w:val="003F7435"/>
    <w:rsid w:val="00403D11"/>
    <w:rsid w:val="00406FB2"/>
    <w:rsid w:val="00434F9F"/>
    <w:rsid w:val="004417B0"/>
    <w:rsid w:val="00454CE1"/>
    <w:rsid w:val="00464A41"/>
    <w:rsid w:val="00476D81"/>
    <w:rsid w:val="00483ABC"/>
    <w:rsid w:val="00483B87"/>
    <w:rsid w:val="00487F37"/>
    <w:rsid w:val="004A5A55"/>
    <w:rsid w:val="004B04ED"/>
    <w:rsid w:val="004B3C20"/>
    <w:rsid w:val="004C3CFA"/>
    <w:rsid w:val="004D1E25"/>
    <w:rsid w:val="004D473A"/>
    <w:rsid w:val="004F1562"/>
    <w:rsid w:val="00503182"/>
    <w:rsid w:val="005074AD"/>
    <w:rsid w:val="00507654"/>
    <w:rsid w:val="00512C9A"/>
    <w:rsid w:val="005141E3"/>
    <w:rsid w:val="00517795"/>
    <w:rsid w:val="005225DE"/>
    <w:rsid w:val="00525756"/>
    <w:rsid w:val="0053676C"/>
    <w:rsid w:val="00536993"/>
    <w:rsid w:val="005515BB"/>
    <w:rsid w:val="0055745E"/>
    <w:rsid w:val="005620FF"/>
    <w:rsid w:val="00564D8E"/>
    <w:rsid w:val="005655FD"/>
    <w:rsid w:val="00574701"/>
    <w:rsid w:val="00583A95"/>
    <w:rsid w:val="005B0419"/>
    <w:rsid w:val="005B3861"/>
    <w:rsid w:val="005B48D6"/>
    <w:rsid w:val="005C0A87"/>
    <w:rsid w:val="005C6313"/>
    <w:rsid w:val="005D54F8"/>
    <w:rsid w:val="005E1F4B"/>
    <w:rsid w:val="005E3827"/>
    <w:rsid w:val="005E38CD"/>
    <w:rsid w:val="005E67C2"/>
    <w:rsid w:val="005E7723"/>
    <w:rsid w:val="005F0421"/>
    <w:rsid w:val="00604143"/>
    <w:rsid w:val="00606BF6"/>
    <w:rsid w:val="00610B79"/>
    <w:rsid w:val="00630550"/>
    <w:rsid w:val="0063610E"/>
    <w:rsid w:val="00636D21"/>
    <w:rsid w:val="00650482"/>
    <w:rsid w:val="00661F21"/>
    <w:rsid w:val="006657AA"/>
    <w:rsid w:val="0066725D"/>
    <w:rsid w:val="006679F3"/>
    <w:rsid w:val="00677186"/>
    <w:rsid w:val="0069021D"/>
    <w:rsid w:val="006903B5"/>
    <w:rsid w:val="006944AA"/>
    <w:rsid w:val="0069666A"/>
    <w:rsid w:val="006A1CD4"/>
    <w:rsid w:val="006A64E9"/>
    <w:rsid w:val="006B1C1D"/>
    <w:rsid w:val="006B682C"/>
    <w:rsid w:val="006B705A"/>
    <w:rsid w:val="006B73E5"/>
    <w:rsid w:val="006B774A"/>
    <w:rsid w:val="006C4693"/>
    <w:rsid w:val="006C509F"/>
    <w:rsid w:val="006D420F"/>
    <w:rsid w:val="006E5656"/>
    <w:rsid w:val="006F7888"/>
    <w:rsid w:val="00703F35"/>
    <w:rsid w:val="00707DB5"/>
    <w:rsid w:val="00715104"/>
    <w:rsid w:val="00721E9C"/>
    <w:rsid w:val="00737E25"/>
    <w:rsid w:val="00741336"/>
    <w:rsid w:val="00755FB4"/>
    <w:rsid w:val="007621E4"/>
    <w:rsid w:val="00764824"/>
    <w:rsid w:val="007720F1"/>
    <w:rsid w:val="00774BD9"/>
    <w:rsid w:val="00776B80"/>
    <w:rsid w:val="007830AF"/>
    <w:rsid w:val="007865C1"/>
    <w:rsid w:val="00786B8F"/>
    <w:rsid w:val="007965BF"/>
    <w:rsid w:val="007A267C"/>
    <w:rsid w:val="007A388D"/>
    <w:rsid w:val="007B004F"/>
    <w:rsid w:val="007B68F9"/>
    <w:rsid w:val="007C25C8"/>
    <w:rsid w:val="007D0C64"/>
    <w:rsid w:val="007D33C2"/>
    <w:rsid w:val="007D58F0"/>
    <w:rsid w:val="007E119F"/>
    <w:rsid w:val="007E7A58"/>
    <w:rsid w:val="007F6772"/>
    <w:rsid w:val="007F6BF1"/>
    <w:rsid w:val="0080302F"/>
    <w:rsid w:val="00806436"/>
    <w:rsid w:val="008069FF"/>
    <w:rsid w:val="008158B6"/>
    <w:rsid w:val="008273CC"/>
    <w:rsid w:val="00832460"/>
    <w:rsid w:val="00833BF2"/>
    <w:rsid w:val="00833D8E"/>
    <w:rsid w:val="00850310"/>
    <w:rsid w:val="0085302B"/>
    <w:rsid w:val="00855074"/>
    <w:rsid w:val="0086318A"/>
    <w:rsid w:val="00870559"/>
    <w:rsid w:val="00874A31"/>
    <w:rsid w:val="008A5FAA"/>
    <w:rsid w:val="008C6728"/>
    <w:rsid w:val="008D10A1"/>
    <w:rsid w:val="008D33CE"/>
    <w:rsid w:val="008D3F1A"/>
    <w:rsid w:val="008E4599"/>
    <w:rsid w:val="008F6573"/>
    <w:rsid w:val="0091368E"/>
    <w:rsid w:val="00923EC7"/>
    <w:rsid w:val="00925CEC"/>
    <w:rsid w:val="00926706"/>
    <w:rsid w:val="00933150"/>
    <w:rsid w:val="009472CD"/>
    <w:rsid w:val="00951EA6"/>
    <w:rsid w:val="009700E3"/>
    <w:rsid w:val="00970799"/>
    <w:rsid w:val="00985C2B"/>
    <w:rsid w:val="0099034D"/>
    <w:rsid w:val="00990BD9"/>
    <w:rsid w:val="009A5095"/>
    <w:rsid w:val="009A7E49"/>
    <w:rsid w:val="009B34DD"/>
    <w:rsid w:val="009B5492"/>
    <w:rsid w:val="009C21CD"/>
    <w:rsid w:val="009C653C"/>
    <w:rsid w:val="009D7FDF"/>
    <w:rsid w:val="009E0434"/>
    <w:rsid w:val="009E5699"/>
    <w:rsid w:val="009F13B7"/>
    <w:rsid w:val="00A009D1"/>
    <w:rsid w:val="00A054E4"/>
    <w:rsid w:val="00A078B9"/>
    <w:rsid w:val="00A100CB"/>
    <w:rsid w:val="00A231DE"/>
    <w:rsid w:val="00A26B5C"/>
    <w:rsid w:val="00A33662"/>
    <w:rsid w:val="00A40624"/>
    <w:rsid w:val="00A45147"/>
    <w:rsid w:val="00A51339"/>
    <w:rsid w:val="00A531F5"/>
    <w:rsid w:val="00A534D0"/>
    <w:rsid w:val="00A71FE6"/>
    <w:rsid w:val="00A75186"/>
    <w:rsid w:val="00A758AA"/>
    <w:rsid w:val="00A80071"/>
    <w:rsid w:val="00A83452"/>
    <w:rsid w:val="00A83A38"/>
    <w:rsid w:val="00A87B14"/>
    <w:rsid w:val="00AA44E7"/>
    <w:rsid w:val="00AB07F6"/>
    <w:rsid w:val="00AB1D72"/>
    <w:rsid w:val="00AD0776"/>
    <w:rsid w:val="00AD677D"/>
    <w:rsid w:val="00AE065B"/>
    <w:rsid w:val="00AF1230"/>
    <w:rsid w:val="00AF7EDD"/>
    <w:rsid w:val="00B00178"/>
    <w:rsid w:val="00B1254D"/>
    <w:rsid w:val="00B159FF"/>
    <w:rsid w:val="00B21E84"/>
    <w:rsid w:val="00B23E96"/>
    <w:rsid w:val="00B5057B"/>
    <w:rsid w:val="00B63BB3"/>
    <w:rsid w:val="00B86D56"/>
    <w:rsid w:val="00BA64C9"/>
    <w:rsid w:val="00BA71B1"/>
    <w:rsid w:val="00BA7694"/>
    <w:rsid w:val="00BB658A"/>
    <w:rsid w:val="00BC0736"/>
    <w:rsid w:val="00BD32FC"/>
    <w:rsid w:val="00BF171B"/>
    <w:rsid w:val="00BF75AD"/>
    <w:rsid w:val="00C00A46"/>
    <w:rsid w:val="00C02D0B"/>
    <w:rsid w:val="00C10494"/>
    <w:rsid w:val="00C15349"/>
    <w:rsid w:val="00C2246E"/>
    <w:rsid w:val="00C2733E"/>
    <w:rsid w:val="00C350B1"/>
    <w:rsid w:val="00C408B3"/>
    <w:rsid w:val="00C439AC"/>
    <w:rsid w:val="00C44E98"/>
    <w:rsid w:val="00C70AAA"/>
    <w:rsid w:val="00C73BB0"/>
    <w:rsid w:val="00C77485"/>
    <w:rsid w:val="00C83218"/>
    <w:rsid w:val="00C83619"/>
    <w:rsid w:val="00C909DC"/>
    <w:rsid w:val="00C9183C"/>
    <w:rsid w:val="00C92544"/>
    <w:rsid w:val="00C94356"/>
    <w:rsid w:val="00CB15B1"/>
    <w:rsid w:val="00CB1F3B"/>
    <w:rsid w:val="00CD42B6"/>
    <w:rsid w:val="00CF60DB"/>
    <w:rsid w:val="00D2115A"/>
    <w:rsid w:val="00D2252E"/>
    <w:rsid w:val="00D256D4"/>
    <w:rsid w:val="00D25737"/>
    <w:rsid w:val="00D332D0"/>
    <w:rsid w:val="00D34155"/>
    <w:rsid w:val="00D52189"/>
    <w:rsid w:val="00D55C78"/>
    <w:rsid w:val="00D63243"/>
    <w:rsid w:val="00D67F66"/>
    <w:rsid w:val="00D83BC1"/>
    <w:rsid w:val="00D86C92"/>
    <w:rsid w:val="00D97C74"/>
    <w:rsid w:val="00DA6EA9"/>
    <w:rsid w:val="00DB20FF"/>
    <w:rsid w:val="00DB2AEA"/>
    <w:rsid w:val="00DC2266"/>
    <w:rsid w:val="00DC7A85"/>
    <w:rsid w:val="00DD3A37"/>
    <w:rsid w:val="00DD542B"/>
    <w:rsid w:val="00DE6726"/>
    <w:rsid w:val="00DE7C95"/>
    <w:rsid w:val="00DF07DC"/>
    <w:rsid w:val="00DF0B1F"/>
    <w:rsid w:val="00DF74A5"/>
    <w:rsid w:val="00E149DF"/>
    <w:rsid w:val="00E22323"/>
    <w:rsid w:val="00E234CE"/>
    <w:rsid w:val="00E278CF"/>
    <w:rsid w:val="00E3072F"/>
    <w:rsid w:val="00E31912"/>
    <w:rsid w:val="00E413C5"/>
    <w:rsid w:val="00E55420"/>
    <w:rsid w:val="00E55A09"/>
    <w:rsid w:val="00E642B9"/>
    <w:rsid w:val="00E86AF9"/>
    <w:rsid w:val="00EA79EB"/>
    <w:rsid w:val="00EB6DB1"/>
    <w:rsid w:val="00EC10FB"/>
    <w:rsid w:val="00EC47D5"/>
    <w:rsid w:val="00EC566E"/>
    <w:rsid w:val="00EC6B49"/>
    <w:rsid w:val="00ED1846"/>
    <w:rsid w:val="00ED52DA"/>
    <w:rsid w:val="00ED64F7"/>
    <w:rsid w:val="00EE5E81"/>
    <w:rsid w:val="00EF354B"/>
    <w:rsid w:val="00EF5525"/>
    <w:rsid w:val="00EF6FFE"/>
    <w:rsid w:val="00EF78C0"/>
    <w:rsid w:val="00F01082"/>
    <w:rsid w:val="00F01DFA"/>
    <w:rsid w:val="00F03BDD"/>
    <w:rsid w:val="00F10215"/>
    <w:rsid w:val="00F203A8"/>
    <w:rsid w:val="00F325EC"/>
    <w:rsid w:val="00F47541"/>
    <w:rsid w:val="00F51167"/>
    <w:rsid w:val="00F5272F"/>
    <w:rsid w:val="00F65E4C"/>
    <w:rsid w:val="00F67101"/>
    <w:rsid w:val="00F722CA"/>
    <w:rsid w:val="00F753B8"/>
    <w:rsid w:val="00F7585D"/>
    <w:rsid w:val="00F770A9"/>
    <w:rsid w:val="00F77584"/>
    <w:rsid w:val="00F87E0F"/>
    <w:rsid w:val="00FA19EF"/>
    <w:rsid w:val="00FA37FF"/>
    <w:rsid w:val="00FC3156"/>
    <w:rsid w:val="00FD03B2"/>
    <w:rsid w:val="00FD1516"/>
    <w:rsid w:val="00FD2F7B"/>
    <w:rsid w:val="00FD4ABE"/>
    <w:rsid w:val="00FD63E8"/>
    <w:rsid w:val="00FE33AC"/>
    <w:rsid w:val="00FE3DA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29EF68-FEE4-4B9F-B454-71BC885E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CC"/>
  </w:style>
  <w:style w:type="paragraph" w:styleId="Heading2">
    <w:name w:val="heading 2"/>
    <w:basedOn w:val="Normal"/>
    <w:next w:val="Normal"/>
    <w:link w:val="Heading2Char"/>
    <w:uiPriority w:val="9"/>
    <w:semiHidden/>
    <w:unhideWhenUsed/>
    <w:qFormat/>
    <w:rsid w:val="004B3C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3CC"/>
    <w:rPr>
      <w:color w:val="0000FF" w:themeColor="hyperlink"/>
      <w:u w:val="single"/>
    </w:rPr>
  </w:style>
  <w:style w:type="paragraph" w:styleId="BalloonText">
    <w:name w:val="Balloon Text"/>
    <w:basedOn w:val="Normal"/>
    <w:link w:val="BalloonTextChar"/>
    <w:uiPriority w:val="99"/>
    <w:semiHidden/>
    <w:unhideWhenUsed/>
    <w:rsid w:val="00741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336"/>
    <w:rPr>
      <w:rFonts w:ascii="Tahoma" w:hAnsi="Tahoma" w:cs="Tahoma"/>
      <w:sz w:val="16"/>
      <w:szCs w:val="16"/>
    </w:rPr>
  </w:style>
  <w:style w:type="character" w:styleId="CommentReference">
    <w:name w:val="annotation reference"/>
    <w:basedOn w:val="DefaultParagraphFont"/>
    <w:uiPriority w:val="99"/>
    <w:semiHidden/>
    <w:unhideWhenUsed/>
    <w:rsid w:val="00FC3156"/>
    <w:rPr>
      <w:sz w:val="16"/>
      <w:szCs w:val="16"/>
    </w:rPr>
  </w:style>
  <w:style w:type="paragraph" w:styleId="CommentText">
    <w:name w:val="annotation text"/>
    <w:basedOn w:val="Normal"/>
    <w:link w:val="CommentTextChar"/>
    <w:uiPriority w:val="99"/>
    <w:semiHidden/>
    <w:unhideWhenUsed/>
    <w:rsid w:val="00FC3156"/>
    <w:pPr>
      <w:spacing w:line="240" w:lineRule="auto"/>
    </w:pPr>
    <w:rPr>
      <w:sz w:val="20"/>
      <w:szCs w:val="20"/>
    </w:rPr>
  </w:style>
  <w:style w:type="character" w:customStyle="1" w:styleId="CommentTextChar">
    <w:name w:val="Comment Text Char"/>
    <w:basedOn w:val="DefaultParagraphFont"/>
    <w:link w:val="CommentText"/>
    <w:uiPriority w:val="99"/>
    <w:semiHidden/>
    <w:rsid w:val="00FC3156"/>
    <w:rPr>
      <w:sz w:val="20"/>
      <w:szCs w:val="20"/>
    </w:rPr>
  </w:style>
  <w:style w:type="paragraph" w:styleId="CommentSubject">
    <w:name w:val="annotation subject"/>
    <w:basedOn w:val="CommentText"/>
    <w:next w:val="CommentText"/>
    <w:link w:val="CommentSubjectChar"/>
    <w:uiPriority w:val="99"/>
    <w:semiHidden/>
    <w:unhideWhenUsed/>
    <w:rsid w:val="00FC3156"/>
    <w:rPr>
      <w:b/>
      <w:bCs/>
    </w:rPr>
  </w:style>
  <w:style w:type="character" w:customStyle="1" w:styleId="CommentSubjectChar">
    <w:name w:val="Comment Subject Char"/>
    <w:basedOn w:val="CommentTextChar"/>
    <w:link w:val="CommentSubject"/>
    <w:uiPriority w:val="99"/>
    <w:semiHidden/>
    <w:rsid w:val="00FC3156"/>
    <w:rPr>
      <w:b/>
      <w:bCs/>
      <w:sz w:val="20"/>
      <w:szCs w:val="20"/>
    </w:rPr>
  </w:style>
  <w:style w:type="paragraph" w:styleId="BodyTextIndent">
    <w:name w:val="Body Text Indent"/>
    <w:basedOn w:val="Normal"/>
    <w:link w:val="BodyTextIndentChar"/>
    <w:uiPriority w:val="99"/>
    <w:rsid w:val="00D2252E"/>
    <w:pPr>
      <w:spacing w:after="0" w:line="240" w:lineRule="auto"/>
      <w:jc w:val="both"/>
    </w:pPr>
    <w:rPr>
      <w:rFonts w:ascii="Times New Roman" w:eastAsia="Times New Roman" w:hAnsi="Times New Roman" w:cs="Times New Roman"/>
      <w:sz w:val="20"/>
      <w:szCs w:val="24"/>
      <w:lang w:val="en-GB"/>
    </w:rPr>
  </w:style>
  <w:style w:type="character" w:customStyle="1" w:styleId="BodyTextIndentChar">
    <w:name w:val="Body Text Indent Char"/>
    <w:basedOn w:val="DefaultParagraphFont"/>
    <w:link w:val="BodyTextIndent"/>
    <w:uiPriority w:val="99"/>
    <w:rsid w:val="00D2252E"/>
    <w:rPr>
      <w:rFonts w:ascii="Times New Roman" w:eastAsia="Times New Roman" w:hAnsi="Times New Roman" w:cs="Times New Roman"/>
      <w:sz w:val="20"/>
      <w:szCs w:val="24"/>
      <w:lang w:val="en-GB"/>
    </w:rPr>
  </w:style>
  <w:style w:type="paragraph" w:styleId="BodyText">
    <w:name w:val="Body Text"/>
    <w:basedOn w:val="Normal"/>
    <w:link w:val="BodyTextChar"/>
    <w:uiPriority w:val="99"/>
    <w:rsid w:val="00D2252E"/>
    <w:pPr>
      <w:autoSpaceDE w:val="0"/>
      <w:autoSpaceDN w:val="0"/>
      <w:spacing w:after="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D2252E"/>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DA6EA9"/>
    <w:pPr>
      <w:spacing w:line="240" w:lineRule="auto"/>
    </w:pPr>
    <w:rPr>
      <w:i/>
      <w:iCs/>
      <w:color w:val="1F497D" w:themeColor="text2"/>
      <w:sz w:val="18"/>
      <w:szCs w:val="18"/>
    </w:rPr>
  </w:style>
  <w:style w:type="character" w:customStyle="1" w:styleId="Mention1">
    <w:name w:val="Mention1"/>
    <w:basedOn w:val="DefaultParagraphFont"/>
    <w:uiPriority w:val="99"/>
    <w:semiHidden/>
    <w:unhideWhenUsed/>
    <w:rsid w:val="004B3C20"/>
    <w:rPr>
      <w:color w:val="2B579A"/>
      <w:shd w:val="clear" w:color="auto" w:fill="E6E6E6"/>
    </w:rPr>
  </w:style>
  <w:style w:type="character" w:customStyle="1" w:styleId="Heading2Char">
    <w:name w:val="Heading 2 Char"/>
    <w:basedOn w:val="DefaultParagraphFont"/>
    <w:link w:val="Heading2"/>
    <w:uiPriority w:val="9"/>
    <w:semiHidden/>
    <w:rsid w:val="004B3C2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0203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7081">
      <w:bodyDiv w:val="1"/>
      <w:marLeft w:val="0"/>
      <w:marRight w:val="0"/>
      <w:marTop w:val="0"/>
      <w:marBottom w:val="0"/>
      <w:divBdr>
        <w:top w:val="none" w:sz="0" w:space="0" w:color="auto"/>
        <w:left w:val="none" w:sz="0" w:space="0" w:color="auto"/>
        <w:bottom w:val="none" w:sz="0" w:space="0" w:color="auto"/>
        <w:right w:val="none" w:sz="0" w:space="0" w:color="auto"/>
      </w:divBdr>
    </w:div>
    <w:div w:id="1048726197">
      <w:bodyDiv w:val="1"/>
      <w:marLeft w:val="0"/>
      <w:marRight w:val="0"/>
      <w:marTop w:val="0"/>
      <w:marBottom w:val="0"/>
      <w:divBdr>
        <w:top w:val="none" w:sz="0" w:space="0" w:color="auto"/>
        <w:left w:val="none" w:sz="0" w:space="0" w:color="auto"/>
        <w:bottom w:val="none" w:sz="0" w:space="0" w:color="auto"/>
        <w:right w:val="none" w:sz="0" w:space="0" w:color="auto"/>
      </w:divBdr>
    </w:div>
    <w:div w:id="17101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nz.govt.nz/statistics/key-graphs/key-graph-inflation" TargetMode="External"/><Relationship Id="rId3" Type="http://schemas.openxmlformats.org/officeDocument/2006/relationships/styles" Target="styles.xml"/><Relationship Id="rId7" Type="http://schemas.openxmlformats.org/officeDocument/2006/relationships/hyperlink" Target="http://www.stats.govt.nz/infoshare/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easury.govt.nz/budget/forecasts/archiv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s.govt.nz/infoshare/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A5361-56CC-4C0A-BD96-67854D47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3962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Sanders</dc:creator>
  <cp:lastModifiedBy>Jolene Williams</cp:lastModifiedBy>
  <cp:revision>2</cp:revision>
  <cp:lastPrinted>2017-05-25T04:41:00Z</cp:lastPrinted>
  <dcterms:created xsi:type="dcterms:W3CDTF">2017-05-31T05:37:00Z</dcterms:created>
  <dcterms:modified xsi:type="dcterms:W3CDTF">2017-05-31T05:37:00Z</dcterms:modified>
</cp:coreProperties>
</file>